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A9B9B" w14:textId="77777777" w:rsidR="00DA583A" w:rsidRDefault="00333A6E" w:rsidP="006072F5">
      <w:pPr>
        <w:spacing w:line="239" w:lineRule="auto"/>
        <w:ind w:left="6096"/>
        <w:rPr>
          <w:rFonts w:eastAsia="Tahoma"/>
          <w:b/>
          <w:bCs/>
        </w:rPr>
      </w:pPr>
      <w:bookmarkStart w:id="0" w:name="page1"/>
      <w:bookmarkEnd w:id="0"/>
      <w:r w:rsidRPr="006072F5">
        <w:rPr>
          <w:rFonts w:eastAsia="Tahoma"/>
          <w:b/>
          <w:bCs/>
        </w:rPr>
        <w:t xml:space="preserve">          </w:t>
      </w:r>
    </w:p>
    <w:p w14:paraId="39C05177" w14:textId="77777777" w:rsidR="00DA583A" w:rsidRDefault="00DA583A" w:rsidP="006072F5">
      <w:pPr>
        <w:spacing w:line="239" w:lineRule="auto"/>
        <w:ind w:left="6096"/>
        <w:rPr>
          <w:rFonts w:eastAsia="Tahoma"/>
          <w:b/>
          <w:bCs/>
        </w:rPr>
      </w:pPr>
    </w:p>
    <w:p w14:paraId="22021900" w14:textId="77777777" w:rsidR="00333A6E" w:rsidRPr="00932B7F" w:rsidRDefault="00DA583A" w:rsidP="006072F5">
      <w:pPr>
        <w:spacing w:line="239" w:lineRule="auto"/>
        <w:ind w:left="6096"/>
        <w:rPr>
          <w:rFonts w:eastAsia="Tahoma"/>
          <w:b/>
          <w:bCs/>
        </w:rPr>
      </w:pPr>
      <w:r>
        <w:rPr>
          <w:rFonts w:eastAsia="Tahoma"/>
          <w:b/>
          <w:bCs/>
        </w:rPr>
        <w:t xml:space="preserve">          </w:t>
      </w:r>
      <w:r w:rsidR="00725806" w:rsidRPr="00932B7F">
        <w:rPr>
          <w:rFonts w:eastAsia="Tahoma"/>
          <w:b/>
          <w:bCs/>
        </w:rPr>
        <w:t>УТВЕРЖДЕН</w:t>
      </w:r>
      <w:r w:rsidR="00333A6E" w:rsidRPr="00932B7F">
        <w:rPr>
          <w:rFonts w:eastAsia="Tahoma"/>
          <w:b/>
          <w:bCs/>
        </w:rPr>
        <w:t>О</w:t>
      </w:r>
      <w:r w:rsidR="00725806" w:rsidRPr="00932B7F">
        <w:rPr>
          <w:rFonts w:eastAsia="Tahoma"/>
          <w:b/>
          <w:bCs/>
        </w:rPr>
        <w:t xml:space="preserve"> </w:t>
      </w:r>
    </w:p>
    <w:p w14:paraId="4585D583" w14:textId="77777777" w:rsidR="00333A6E" w:rsidRPr="00932B7F" w:rsidRDefault="00333A6E" w:rsidP="006072F5">
      <w:pPr>
        <w:spacing w:line="238" w:lineRule="auto"/>
        <w:ind w:firstLine="5670"/>
        <w:rPr>
          <w:rFonts w:eastAsia="Tahoma"/>
          <w:b/>
          <w:bCs/>
        </w:rPr>
      </w:pPr>
      <w:r w:rsidRPr="00932B7F">
        <w:rPr>
          <w:rFonts w:eastAsia="Tahoma"/>
          <w:b/>
          <w:bCs/>
        </w:rPr>
        <w:t xml:space="preserve"> </w:t>
      </w:r>
      <w:r w:rsidR="004900BB" w:rsidRPr="00932B7F">
        <w:rPr>
          <w:rFonts w:eastAsia="Tahoma"/>
          <w:b/>
          <w:bCs/>
        </w:rPr>
        <w:t>Решением единственного участника</w:t>
      </w:r>
      <w:r w:rsidRPr="00932B7F">
        <w:rPr>
          <w:rFonts w:eastAsia="Tahoma"/>
          <w:b/>
          <w:bCs/>
        </w:rPr>
        <w:t xml:space="preserve">                               </w:t>
      </w:r>
    </w:p>
    <w:p w14:paraId="3A5CEB7D" w14:textId="4FD2004A" w:rsidR="00333A6E" w:rsidRPr="00932B7F" w:rsidRDefault="00333A6E" w:rsidP="006072F5">
      <w:pPr>
        <w:spacing w:line="238" w:lineRule="auto"/>
        <w:ind w:firstLine="5670"/>
        <w:rPr>
          <w:rFonts w:eastAsia="Tahoma"/>
          <w:b/>
          <w:bCs/>
        </w:rPr>
      </w:pPr>
      <w:r w:rsidRPr="00932B7F">
        <w:rPr>
          <w:rFonts w:eastAsia="Tahoma"/>
          <w:b/>
          <w:bCs/>
        </w:rPr>
        <w:t xml:space="preserve"> </w:t>
      </w:r>
      <w:r w:rsidR="00725806" w:rsidRPr="00932B7F">
        <w:rPr>
          <w:rFonts w:eastAsia="Tahoma"/>
          <w:b/>
          <w:bCs/>
        </w:rPr>
        <w:t>ООО «</w:t>
      </w:r>
      <w:r w:rsidR="004820FC" w:rsidRPr="00932B7F">
        <w:rPr>
          <w:rFonts w:eastAsia="Tahoma"/>
          <w:b/>
          <w:bCs/>
        </w:rPr>
        <w:t>ФИНКОНСАЛТ</w:t>
      </w:r>
      <w:r w:rsidR="00725806" w:rsidRPr="00932B7F">
        <w:rPr>
          <w:rFonts w:eastAsia="Tahoma"/>
          <w:b/>
          <w:bCs/>
        </w:rPr>
        <w:t>»</w:t>
      </w:r>
    </w:p>
    <w:p w14:paraId="19C2FFA4" w14:textId="5414EEC7" w:rsidR="0067080E" w:rsidRPr="00932B7F" w:rsidRDefault="00333A6E" w:rsidP="006072F5">
      <w:pPr>
        <w:tabs>
          <w:tab w:val="left" w:pos="5812"/>
        </w:tabs>
        <w:spacing w:line="238" w:lineRule="auto"/>
        <w:jc w:val="both"/>
      </w:pPr>
      <w:r w:rsidRPr="00932B7F">
        <w:rPr>
          <w:rFonts w:eastAsia="Tahoma"/>
          <w:b/>
          <w:bCs/>
        </w:rPr>
        <w:t xml:space="preserve">                                                                                                      </w:t>
      </w:r>
      <w:r w:rsidR="00DA583A" w:rsidRPr="00932B7F">
        <w:rPr>
          <w:rFonts w:eastAsia="Tahoma"/>
          <w:b/>
          <w:bCs/>
        </w:rPr>
        <w:t xml:space="preserve">  </w:t>
      </w:r>
      <w:r w:rsidR="004900BB" w:rsidRPr="00336E2A">
        <w:rPr>
          <w:rFonts w:eastAsia="Tahoma"/>
          <w:b/>
          <w:bCs/>
        </w:rPr>
        <w:t>(Решение б/н от «</w:t>
      </w:r>
      <w:r w:rsidR="00336E2A" w:rsidRPr="00336E2A">
        <w:rPr>
          <w:rFonts w:eastAsia="Tahoma"/>
          <w:b/>
          <w:bCs/>
        </w:rPr>
        <w:t>23</w:t>
      </w:r>
      <w:r w:rsidR="004900BB" w:rsidRPr="00336E2A">
        <w:rPr>
          <w:rFonts w:eastAsia="Tahoma"/>
          <w:b/>
          <w:bCs/>
        </w:rPr>
        <w:t xml:space="preserve">» </w:t>
      </w:r>
      <w:r w:rsidR="001A5EEF" w:rsidRPr="00336E2A">
        <w:rPr>
          <w:rFonts w:eastAsia="Tahoma"/>
          <w:b/>
          <w:bCs/>
        </w:rPr>
        <w:t>апреля</w:t>
      </w:r>
      <w:r w:rsidR="002C5E7F" w:rsidRPr="00336E2A">
        <w:rPr>
          <w:rFonts w:eastAsia="Tahoma"/>
          <w:b/>
          <w:bCs/>
        </w:rPr>
        <w:t xml:space="preserve"> 202</w:t>
      </w:r>
      <w:r w:rsidR="006250FD" w:rsidRPr="00336E2A">
        <w:rPr>
          <w:rFonts w:eastAsia="Tahoma"/>
          <w:b/>
          <w:bCs/>
        </w:rPr>
        <w:t>4</w:t>
      </w:r>
      <w:r w:rsidR="002C5E7F" w:rsidRPr="00336E2A">
        <w:rPr>
          <w:rFonts w:eastAsia="Tahoma"/>
          <w:b/>
          <w:bCs/>
        </w:rPr>
        <w:t xml:space="preserve"> </w:t>
      </w:r>
      <w:r w:rsidR="004900BB" w:rsidRPr="00336E2A">
        <w:rPr>
          <w:rFonts w:eastAsia="Tahoma"/>
          <w:b/>
          <w:bCs/>
        </w:rPr>
        <w:t>года)</w:t>
      </w:r>
    </w:p>
    <w:p w14:paraId="68D5F943" w14:textId="77777777" w:rsidR="0067080E" w:rsidRPr="00932B7F" w:rsidRDefault="0067080E">
      <w:pPr>
        <w:spacing w:line="200" w:lineRule="exact"/>
      </w:pPr>
    </w:p>
    <w:p w14:paraId="73C87280" w14:textId="77777777" w:rsidR="0067080E" w:rsidRPr="00932B7F" w:rsidRDefault="0067080E">
      <w:pPr>
        <w:spacing w:line="200" w:lineRule="exact"/>
      </w:pPr>
    </w:p>
    <w:p w14:paraId="6BDD9FAB" w14:textId="77777777" w:rsidR="0067080E" w:rsidRPr="00932B7F" w:rsidRDefault="0067080E">
      <w:pPr>
        <w:spacing w:line="200" w:lineRule="exact"/>
      </w:pPr>
    </w:p>
    <w:p w14:paraId="30435709" w14:textId="77777777" w:rsidR="0067080E" w:rsidRPr="00932B7F" w:rsidRDefault="0067080E">
      <w:pPr>
        <w:spacing w:line="200" w:lineRule="exact"/>
      </w:pPr>
    </w:p>
    <w:p w14:paraId="226ECE1C" w14:textId="77777777" w:rsidR="0067080E" w:rsidRPr="00932B7F" w:rsidRDefault="0067080E">
      <w:pPr>
        <w:spacing w:line="200" w:lineRule="exact"/>
      </w:pPr>
    </w:p>
    <w:p w14:paraId="0FE5D9D9" w14:textId="77777777" w:rsidR="0067080E" w:rsidRPr="00932B7F" w:rsidRDefault="0067080E">
      <w:pPr>
        <w:spacing w:line="200" w:lineRule="exact"/>
      </w:pPr>
    </w:p>
    <w:p w14:paraId="7FE30CDB" w14:textId="77777777" w:rsidR="00DA583A" w:rsidRPr="00932B7F" w:rsidRDefault="00DA583A">
      <w:pPr>
        <w:spacing w:line="200" w:lineRule="exact"/>
      </w:pPr>
    </w:p>
    <w:p w14:paraId="44712226" w14:textId="77777777" w:rsidR="00DA583A" w:rsidRPr="00932B7F" w:rsidRDefault="00DA583A">
      <w:pPr>
        <w:spacing w:line="200" w:lineRule="exact"/>
      </w:pPr>
    </w:p>
    <w:p w14:paraId="4337D78F" w14:textId="77777777" w:rsidR="00DA583A" w:rsidRPr="00932B7F" w:rsidRDefault="00DA583A">
      <w:pPr>
        <w:spacing w:line="200" w:lineRule="exact"/>
      </w:pPr>
    </w:p>
    <w:p w14:paraId="5358B691" w14:textId="77777777" w:rsidR="00A66674" w:rsidRPr="00932B7F" w:rsidRDefault="00A66674">
      <w:pPr>
        <w:spacing w:line="200" w:lineRule="exact"/>
      </w:pPr>
    </w:p>
    <w:p w14:paraId="0D60B7FD" w14:textId="77777777" w:rsidR="00A66674" w:rsidRPr="00932B7F" w:rsidRDefault="00A66674">
      <w:pPr>
        <w:spacing w:line="200" w:lineRule="exact"/>
      </w:pPr>
    </w:p>
    <w:p w14:paraId="505554ED" w14:textId="77777777" w:rsidR="00DA583A" w:rsidRPr="00932B7F" w:rsidRDefault="00DA583A">
      <w:pPr>
        <w:spacing w:line="200" w:lineRule="exact"/>
      </w:pPr>
    </w:p>
    <w:p w14:paraId="74A7E8FA" w14:textId="77777777" w:rsidR="0067080E" w:rsidRPr="00932B7F" w:rsidRDefault="0067080E">
      <w:pPr>
        <w:spacing w:line="200" w:lineRule="exact"/>
      </w:pPr>
    </w:p>
    <w:p w14:paraId="68A1B9B3" w14:textId="77777777" w:rsidR="0067080E" w:rsidRPr="00932B7F" w:rsidRDefault="0067080E">
      <w:pPr>
        <w:spacing w:line="200" w:lineRule="exact"/>
      </w:pPr>
    </w:p>
    <w:p w14:paraId="1F5E0409" w14:textId="77777777" w:rsidR="00DA583A" w:rsidRPr="00932B7F" w:rsidRDefault="00DA583A">
      <w:pPr>
        <w:spacing w:line="200" w:lineRule="exact"/>
      </w:pPr>
    </w:p>
    <w:p w14:paraId="74CD9858" w14:textId="77777777" w:rsidR="0067080E" w:rsidRPr="00932B7F" w:rsidRDefault="0067080E">
      <w:pPr>
        <w:spacing w:line="200" w:lineRule="exact"/>
      </w:pPr>
    </w:p>
    <w:p w14:paraId="0E5A6853" w14:textId="77777777" w:rsidR="0067080E" w:rsidRPr="00932B7F" w:rsidRDefault="0067080E">
      <w:pPr>
        <w:spacing w:line="271" w:lineRule="exact"/>
      </w:pPr>
    </w:p>
    <w:p w14:paraId="3D60F179" w14:textId="77777777" w:rsidR="0067080E" w:rsidRPr="00932B7F" w:rsidRDefault="00725806" w:rsidP="006072F5">
      <w:pPr>
        <w:spacing w:line="239" w:lineRule="auto"/>
        <w:jc w:val="center"/>
      </w:pPr>
      <w:r w:rsidRPr="00932B7F">
        <w:rPr>
          <w:rFonts w:eastAsia="Tahoma"/>
          <w:b/>
          <w:bCs/>
        </w:rPr>
        <w:t>ГОДОВОЙ ОТЧЕТ</w:t>
      </w:r>
    </w:p>
    <w:p w14:paraId="4B1C8713" w14:textId="77777777" w:rsidR="0067080E" w:rsidRPr="00932B7F" w:rsidRDefault="0067080E" w:rsidP="006072F5">
      <w:pPr>
        <w:spacing w:line="200" w:lineRule="exact"/>
        <w:jc w:val="center"/>
      </w:pPr>
    </w:p>
    <w:p w14:paraId="2076AEC2" w14:textId="77777777" w:rsidR="0067080E" w:rsidRPr="00932B7F" w:rsidRDefault="0067080E" w:rsidP="006072F5">
      <w:pPr>
        <w:spacing w:line="237" w:lineRule="exact"/>
        <w:jc w:val="center"/>
      </w:pPr>
    </w:p>
    <w:p w14:paraId="041B0D90" w14:textId="77777777" w:rsidR="0067080E" w:rsidRPr="00932B7F" w:rsidRDefault="00725806" w:rsidP="006072F5">
      <w:pPr>
        <w:spacing w:line="239" w:lineRule="auto"/>
        <w:jc w:val="center"/>
      </w:pPr>
      <w:r w:rsidRPr="00932B7F">
        <w:rPr>
          <w:rFonts w:eastAsia="Tahoma"/>
          <w:b/>
          <w:bCs/>
        </w:rPr>
        <w:t>ОБЩЕСТВА С ОГРАНИЧЕННОЙ ОТВЕТСТВЕННОСТЬЮ</w:t>
      </w:r>
    </w:p>
    <w:p w14:paraId="1CE412EC" w14:textId="77777777" w:rsidR="0067080E" w:rsidRPr="00932B7F" w:rsidRDefault="0067080E" w:rsidP="006072F5">
      <w:pPr>
        <w:spacing w:line="200" w:lineRule="exact"/>
        <w:jc w:val="center"/>
      </w:pPr>
    </w:p>
    <w:p w14:paraId="74B6B7C1" w14:textId="77777777" w:rsidR="0067080E" w:rsidRPr="00932B7F" w:rsidRDefault="00725806" w:rsidP="006072F5">
      <w:pPr>
        <w:spacing w:line="239" w:lineRule="auto"/>
        <w:jc w:val="center"/>
      </w:pPr>
      <w:r w:rsidRPr="00932B7F">
        <w:rPr>
          <w:rFonts w:eastAsia="Tahoma"/>
          <w:b/>
          <w:bCs/>
        </w:rPr>
        <w:t>«</w:t>
      </w:r>
      <w:r w:rsidR="004820FC" w:rsidRPr="00932B7F">
        <w:rPr>
          <w:rFonts w:eastAsia="Tahoma"/>
          <w:b/>
          <w:bCs/>
        </w:rPr>
        <w:t>ФИНКОНСАЛТ</w:t>
      </w:r>
      <w:r w:rsidRPr="00932B7F">
        <w:rPr>
          <w:rFonts w:eastAsia="Tahoma"/>
          <w:b/>
          <w:bCs/>
        </w:rPr>
        <w:t>»</w:t>
      </w:r>
    </w:p>
    <w:p w14:paraId="20B46705" w14:textId="77777777" w:rsidR="0067080E" w:rsidRPr="00932B7F" w:rsidRDefault="0067080E">
      <w:pPr>
        <w:spacing w:line="213" w:lineRule="exact"/>
      </w:pPr>
    </w:p>
    <w:p w14:paraId="43E0E0B1" w14:textId="20E63683" w:rsidR="0067080E" w:rsidRPr="00932B7F" w:rsidRDefault="00725806" w:rsidP="006072F5">
      <w:pPr>
        <w:jc w:val="center"/>
      </w:pPr>
      <w:r w:rsidRPr="00932B7F">
        <w:rPr>
          <w:rFonts w:eastAsia="Tahoma"/>
          <w:b/>
          <w:bCs/>
        </w:rPr>
        <w:t>ЗА 20</w:t>
      </w:r>
      <w:r w:rsidR="008949D9" w:rsidRPr="00932B7F">
        <w:rPr>
          <w:rFonts w:eastAsia="Tahoma"/>
          <w:b/>
          <w:bCs/>
        </w:rPr>
        <w:t>2</w:t>
      </w:r>
      <w:r w:rsidR="00F7077F" w:rsidRPr="0042066E">
        <w:rPr>
          <w:rFonts w:eastAsia="Tahoma"/>
          <w:b/>
          <w:bCs/>
        </w:rPr>
        <w:t>3</w:t>
      </w:r>
      <w:r w:rsidRPr="00932B7F">
        <w:rPr>
          <w:rFonts w:eastAsia="Tahoma"/>
          <w:b/>
          <w:bCs/>
        </w:rPr>
        <w:t xml:space="preserve"> ГОД</w:t>
      </w:r>
    </w:p>
    <w:p w14:paraId="2518B0C8" w14:textId="77777777" w:rsidR="0067080E" w:rsidRPr="00932B7F" w:rsidRDefault="0067080E">
      <w:pPr>
        <w:spacing w:line="200" w:lineRule="exact"/>
      </w:pPr>
    </w:p>
    <w:p w14:paraId="3F42B143" w14:textId="77777777" w:rsidR="0067080E" w:rsidRPr="00932B7F" w:rsidRDefault="0067080E">
      <w:pPr>
        <w:spacing w:line="200" w:lineRule="exact"/>
      </w:pPr>
    </w:p>
    <w:p w14:paraId="7C97318D" w14:textId="77777777" w:rsidR="0067080E" w:rsidRPr="00932B7F" w:rsidRDefault="0067080E">
      <w:pPr>
        <w:spacing w:line="200" w:lineRule="exact"/>
      </w:pPr>
    </w:p>
    <w:p w14:paraId="4F54E2BC" w14:textId="77777777" w:rsidR="0067080E" w:rsidRPr="00932B7F" w:rsidRDefault="0067080E">
      <w:pPr>
        <w:spacing w:line="200" w:lineRule="exact"/>
      </w:pPr>
    </w:p>
    <w:p w14:paraId="068B3186" w14:textId="77777777" w:rsidR="0067080E" w:rsidRPr="00932B7F" w:rsidRDefault="0067080E">
      <w:pPr>
        <w:spacing w:line="200" w:lineRule="exact"/>
      </w:pPr>
    </w:p>
    <w:p w14:paraId="24F79263" w14:textId="77777777" w:rsidR="0067080E" w:rsidRPr="00932B7F" w:rsidRDefault="0067080E">
      <w:pPr>
        <w:spacing w:line="200" w:lineRule="exact"/>
      </w:pPr>
    </w:p>
    <w:p w14:paraId="48B795FD" w14:textId="77777777" w:rsidR="0067080E" w:rsidRPr="00932B7F" w:rsidRDefault="0067080E">
      <w:pPr>
        <w:spacing w:line="200" w:lineRule="exact"/>
      </w:pPr>
    </w:p>
    <w:p w14:paraId="4601E353" w14:textId="77777777" w:rsidR="0067080E" w:rsidRPr="00932B7F" w:rsidRDefault="0067080E">
      <w:pPr>
        <w:spacing w:line="200" w:lineRule="exact"/>
      </w:pPr>
    </w:p>
    <w:p w14:paraId="517ACDE1" w14:textId="77777777" w:rsidR="0067080E" w:rsidRPr="00932B7F" w:rsidRDefault="0067080E">
      <w:pPr>
        <w:spacing w:line="200" w:lineRule="exact"/>
      </w:pPr>
    </w:p>
    <w:p w14:paraId="6F390BB3" w14:textId="77777777" w:rsidR="0067080E" w:rsidRPr="00932B7F" w:rsidRDefault="0067080E">
      <w:pPr>
        <w:spacing w:line="200" w:lineRule="exact"/>
      </w:pPr>
    </w:p>
    <w:p w14:paraId="7A82BF7F" w14:textId="77777777" w:rsidR="0067080E" w:rsidRPr="00932B7F" w:rsidRDefault="0067080E">
      <w:pPr>
        <w:spacing w:line="200" w:lineRule="exact"/>
      </w:pPr>
    </w:p>
    <w:p w14:paraId="04F95384" w14:textId="77777777" w:rsidR="0067080E" w:rsidRPr="00932B7F" w:rsidRDefault="0067080E">
      <w:pPr>
        <w:spacing w:line="200" w:lineRule="exact"/>
      </w:pPr>
    </w:p>
    <w:p w14:paraId="6C05A37A" w14:textId="77777777" w:rsidR="0067080E" w:rsidRPr="00932B7F" w:rsidRDefault="0067080E">
      <w:pPr>
        <w:spacing w:line="200" w:lineRule="exact"/>
      </w:pPr>
    </w:p>
    <w:p w14:paraId="2F5D65D3" w14:textId="77777777" w:rsidR="0067080E" w:rsidRPr="00932B7F" w:rsidRDefault="0067080E">
      <w:pPr>
        <w:spacing w:line="200" w:lineRule="exact"/>
      </w:pPr>
    </w:p>
    <w:p w14:paraId="2D1815B6" w14:textId="77777777" w:rsidR="0067080E" w:rsidRPr="00932B7F" w:rsidRDefault="0067080E">
      <w:pPr>
        <w:spacing w:line="200" w:lineRule="exact"/>
      </w:pPr>
    </w:p>
    <w:p w14:paraId="1005BA97" w14:textId="77777777" w:rsidR="0067080E" w:rsidRPr="00932B7F" w:rsidRDefault="0067080E">
      <w:pPr>
        <w:spacing w:line="200" w:lineRule="exact"/>
      </w:pPr>
    </w:p>
    <w:p w14:paraId="46D3F3AB" w14:textId="77777777" w:rsidR="0067080E" w:rsidRPr="00932B7F" w:rsidRDefault="0067080E">
      <w:pPr>
        <w:spacing w:line="200" w:lineRule="exact"/>
      </w:pPr>
    </w:p>
    <w:p w14:paraId="4C37C588" w14:textId="77777777" w:rsidR="0067080E" w:rsidRPr="00932B7F" w:rsidRDefault="0067080E">
      <w:pPr>
        <w:spacing w:line="200" w:lineRule="exact"/>
      </w:pPr>
    </w:p>
    <w:p w14:paraId="12A1C727" w14:textId="77777777" w:rsidR="0067080E" w:rsidRPr="00932B7F" w:rsidRDefault="0067080E">
      <w:pPr>
        <w:spacing w:line="200" w:lineRule="exact"/>
      </w:pPr>
    </w:p>
    <w:p w14:paraId="6361E75A" w14:textId="77777777" w:rsidR="0067080E" w:rsidRPr="00932B7F" w:rsidRDefault="0067080E">
      <w:pPr>
        <w:spacing w:line="200" w:lineRule="exact"/>
      </w:pPr>
    </w:p>
    <w:p w14:paraId="3DF54CC6" w14:textId="77777777" w:rsidR="0067080E" w:rsidRPr="00932B7F" w:rsidRDefault="0067080E">
      <w:pPr>
        <w:spacing w:line="200" w:lineRule="exact"/>
      </w:pPr>
    </w:p>
    <w:p w14:paraId="068F230C" w14:textId="77777777" w:rsidR="0067080E" w:rsidRPr="00932B7F" w:rsidRDefault="0067080E">
      <w:pPr>
        <w:spacing w:line="200" w:lineRule="exact"/>
      </w:pPr>
    </w:p>
    <w:p w14:paraId="3C40320A" w14:textId="77777777" w:rsidR="0067080E" w:rsidRPr="00932B7F" w:rsidRDefault="0067080E">
      <w:pPr>
        <w:spacing w:line="200" w:lineRule="exact"/>
      </w:pPr>
    </w:p>
    <w:p w14:paraId="05CC89B2" w14:textId="77777777" w:rsidR="0067080E" w:rsidRPr="00932B7F" w:rsidRDefault="0067080E">
      <w:pPr>
        <w:spacing w:line="200" w:lineRule="exact"/>
      </w:pPr>
    </w:p>
    <w:p w14:paraId="12CB1FE6" w14:textId="77777777" w:rsidR="0067080E" w:rsidRPr="00932B7F" w:rsidRDefault="0067080E">
      <w:pPr>
        <w:spacing w:line="200" w:lineRule="exact"/>
      </w:pPr>
    </w:p>
    <w:p w14:paraId="159370CE" w14:textId="77777777" w:rsidR="0067080E" w:rsidRPr="00932B7F" w:rsidRDefault="0067080E">
      <w:pPr>
        <w:spacing w:line="200" w:lineRule="exact"/>
      </w:pPr>
    </w:p>
    <w:p w14:paraId="545B55CB" w14:textId="77777777" w:rsidR="0067080E" w:rsidRPr="00932B7F" w:rsidRDefault="0067080E">
      <w:pPr>
        <w:spacing w:line="200" w:lineRule="exact"/>
      </w:pPr>
    </w:p>
    <w:p w14:paraId="4EF7271C" w14:textId="77777777" w:rsidR="0067080E" w:rsidRPr="00932B7F" w:rsidRDefault="0067080E">
      <w:pPr>
        <w:spacing w:line="200" w:lineRule="exact"/>
      </w:pPr>
    </w:p>
    <w:p w14:paraId="09357BE3" w14:textId="77777777" w:rsidR="0067080E" w:rsidRPr="00932B7F" w:rsidRDefault="0067080E">
      <w:pPr>
        <w:spacing w:line="200" w:lineRule="exact"/>
      </w:pPr>
    </w:p>
    <w:p w14:paraId="64C70CBD" w14:textId="77777777" w:rsidR="0067080E" w:rsidRPr="00932B7F" w:rsidRDefault="0067080E">
      <w:pPr>
        <w:spacing w:line="200" w:lineRule="exact"/>
      </w:pPr>
    </w:p>
    <w:p w14:paraId="4340AA38" w14:textId="77777777" w:rsidR="0067080E" w:rsidRPr="00932B7F" w:rsidRDefault="0067080E">
      <w:pPr>
        <w:spacing w:line="361" w:lineRule="exact"/>
      </w:pPr>
    </w:p>
    <w:p w14:paraId="22CEEDFA" w14:textId="77777777" w:rsidR="00DA583A" w:rsidRPr="00932B7F" w:rsidRDefault="00DA583A"/>
    <w:p w14:paraId="75A9D365" w14:textId="77777777" w:rsidR="00DA583A" w:rsidRPr="00932B7F" w:rsidRDefault="00DA583A" w:rsidP="006072F5"/>
    <w:p w14:paraId="0F1FAF26" w14:textId="77777777" w:rsidR="00DA583A" w:rsidRPr="00932B7F" w:rsidRDefault="00DA583A" w:rsidP="006072F5"/>
    <w:p w14:paraId="4D8EF62F" w14:textId="77777777" w:rsidR="00DA583A" w:rsidRPr="00932B7F" w:rsidRDefault="00DA583A" w:rsidP="006072F5"/>
    <w:p w14:paraId="00873774" w14:textId="77777777" w:rsidR="00DA583A" w:rsidRPr="00932B7F" w:rsidRDefault="00DA583A" w:rsidP="00DA583A"/>
    <w:p w14:paraId="5E671077" w14:textId="77777777" w:rsidR="00DA583A" w:rsidRPr="00932B7F" w:rsidRDefault="00DA583A" w:rsidP="006072F5">
      <w:pPr>
        <w:jc w:val="center"/>
        <w:rPr>
          <w:b/>
        </w:rPr>
      </w:pPr>
      <w:r w:rsidRPr="00932B7F">
        <w:rPr>
          <w:b/>
        </w:rPr>
        <w:t>Санкт-Петербург</w:t>
      </w:r>
    </w:p>
    <w:p w14:paraId="32EF8F55" w14:textId="59802886" w:rsidR="00DA583A" w:rsidRPr="0042066E" w:rsidRDefault="00DA583A" w:rsidP="006072F5">
      <w:pPr>
        <w:jc w:val="center"/>
        <w:rPr>
          <w:b/>
        </w:rPr>
      </w:pPr>
      <w:r w:rsidRPr="00932B7F">
        <w:rPr>
          <w:b/>
        </w:rPr>
        <w:t>20</w:t>
      </w:r>
      <w:r w:rsidR="003B0379" w:rsidRPr="00932B7F">
        <w:rPr>
          <w:b/>
        </w:rPr>
        <w:t>2</w:t>
      </w:r>
      <w:r w:rsidR="00F7077F" w:rsidRPr="0042066E">
        <w:rPr>
          <w:b/>
        </w:rPr>
        <w:t>4</w:t>
      </w:r>
    </w:p>
    <w:p w14:paraId="27922CC5" w14:textId="77777777" w:rsidR="00A66674" w:rsidRPr="00932B7F" w:rsidRDefault="00A66674" w:rsidP="006072F5">
      <w:pPr>
        <w:jc w:val="center"/>
        <w:rPr>
          <w:b/>
        </w:rPr>
      </w:pPr>
    </w:p>
    <w:p w14:paraId="48852A7E" w14:textId="6816B6FA" w:rsidR="0067080E" w:rsidRPr="00932B7F" w:rsidRDefault="00DA583A" w:rsidP="00A66674">
      <w:pPr>
        <w:tabs>
          <w:tab w:val="center" w:pos="5060"/>
        </w:tabs>
      </w:pPr>
      <w:r w:rsidRPr="00932B7F">
        <w:lastRenderedPageBreak/>
        <w:tab/>
      </w:r>
      <w:bookmarkStart w:id="1" w:name="page2"/>
      <w:bookmarkEnd w:id="1"/>
      <w:r w:rsidR="00725806" w:rsidRPr="00932B7F">
        <w:rPr>
          <w:rFonts w:eastAsia="Tahoma"/>
          <w:b/>
          <w:bCs/>
        </w:rPr>
        <w:t>1. СВЕДЕНИЯ ОБ ОБЩЕСТВЕ</w:t>
      </w:r>
    </w:p>
    <w:p w14:paraId="37BC0C39" w14:textId="77777777" w:rsidR="0067080E" w:rsidRPr="00932B7F" w:rsidRDefault="0067080E">
      <w:pPr>
        <w:spacing w:line="242" w:lineRule="exact"/>
      </w:pPr>
    </w:p>
    <w:p w14:paraId="442DC87D" w14:textId="77777777" w:rsidR="0067080E" w:rsidRPr="00932B7F" w:rsidRDefault="00725806" w:rsidP="00DE3360">
      <w:r w:rsidRPr="00932B7F">
        <w:rPr>
          <w:rFonts w:eastAsia="Tahoma"/>
          <w:b/>
          <w:bCs/>
        </w:rPr>
        <w:t>Наименование Общества:</w:t>
      </w:r>
    </w:p>
    <w:p w14:paraId="2B713ED3" w14:textId="77777777" w:rsidR="0067080E" w:rsidRPr="00932B7F" w:rsidRDefault="0067080E">
      <w:pPr>
        <w:spacing w:line="3" w:lineRule="exact"/>
      </w:pPr>
    </w:p>
    <w:p w14:paraId="3283EF35" w14:textId="77777777" w:rsidR="0067080E" w:rsidRPr="00932B7F" w:rsidRDefault="00725806" w:rsidP="00677E35">
      <w:pPr>
        <w:spacing w:line="238" w:lineRule="auto"/>
        <w:ind w:left="560" w:right="100"/>
        <w:jc w:val="both"/>
      </w:pPr>
      <w:r w:rsidRPr="00932B7F">
        <w:rPr>
          <w:rFonts w:eastAsia="Tahoma"/>
        </w:rPr>
        <w:t xml:space="preserve">Полное фирменное наименование Общества: </w:t>
      </w:r>
      <w:r w:rsidRPr="00932B7F">
        <w:rPr>
          <w:rFonts w:eastAsia="Tahoma"/>
          <w:b/>
          <w:bCs/>
          <w:i/>
          <w:iCs/>
        </w:rPr>
        <w:t>Общество с ограниченной ответственностью "</w:t>
      </w:r>
      <w:r w:rsidR="004820FC" w:rsidRPr="00932B7F">
        <w:rPr>
          <w:rFonts w:eastAsia="Tahoma"/>
          <w:b/>
          <w:bCs/>
          <w:i/>
          <w:iCs/>
        </w:rPr>
        <w:t>ФИНКОНСАЛТ</w:t>
      </w:r>
      <w:r w:rsidRPr="00932B7F">
        <w:rPr>
          <w:rFonts w:eastAsia="Tahoma"/>
          <w:b/>
          <w:bCs/>
          <w:i/>
          <w:iCs/>
        </w:rPr>
        <w:t>"</w:t>
      </w:r>
    </w:p>
    <w:p w14:paraId="0A7C93D5" w14:textId="77777777" w:rsidR="0067080E" w:rsidRPr="00932B7F" w:rsidRDefault="0067080E">
      <w:pPr>
        <w:spacing w:line="4" w:lineRule="exact"/>
      </w:pPr>
    </w:p>
    <w:p w14:paraId="6840021B" w14:textId="77777777" w:rsidR="00725806" w:rsidRPr="00932B7F" w:rsidRDefault="00725806" w:rsidP="00677E35">
      <w:pPr>
        <w:spacing w:line="238" w:lineRule="auto"/>
        <w:ind w:left="560" w:right="1835"/>
        <w:jc w:val="both"/>
        <w:rPr>
          <w:rFonts w:eastAsia="Tahoma"/>
        </w:rPr>
      </w:pPr>
      <w:r w:rsidRPr="00932B7F">
        <w:rPr>
          <w:rFonts w:eastAsia="Tahoma"/>
        </w:rPr>
        <w:t xml:space="preserve">Сокращенное фирменное наименование Общества: </w:t>
      </w:r>
      <w:r w:rsidRPr="00932B7F">
        <w:rPr>
          <w:rFonts w:eastAsia="Tahoma"/>
          <w:b/>
          <w:bCs/>
          <w:i/>
          <w:iCs/>
        </w:rPr>
        <w:t>ООО "</w:t>
      </w:r>
      <w:r w:rsidR="004820FC" w:rsidRPr="00932B7F">
        <w:rPr>
          <w:rFonts w:eastAsia="Tahoma"/>
          <w:b/>
          <w:bCs/>
          <w:i/>
          <w:iCs/>
        </w:rPr>
        <w:t>ФИНКОНСАЛТ</w:t>
      </w:r>
      <w:r w:rsidRPr="00932B7F">
        <w:rPr>
          <w:rFonts w:eastAsia="Tahoma"/>
          <w:b/>
          <w:bCs/>
          <w:i/>
          <w:iCs/>
        </w:rPr>
        <w:t>"</w:t>
      </w:r>
      <w:r w:rsidRPr="00932B7F">
        <w:rPr>
          <w:rFonts w:eastAsia="Tahoma"/>
        </w:rPr>
        <w:t xml:space="preserve"> </w:t>
      </w:r>
    </w:p>
    <w:p w14:paraId="7A9DBAB2" w14:textId="77777777" w:rsidR="0067080E" w:rsidRPr="00932B7F" w:rsidRDefault="0067080E">
      <w:pPr>
        <w:spacing w:line="1" w:lineRule="exact"/>
      </w:pPr>
    </w:p>
    <w:p w14:paraId="1010264B" w14:textId="77777777" w:rsidR="004820FC" w:rsidRPr="00932B7F" w:rsidRDefault="004820FC">
      <w:pPr>
        <w:spacing w:line="1" w:lineRule="exact"/>
      </w:pPr>
    </w:p>
    <w:p w14:paraId="5699C6D0" w14:textId="77777777" w:rsidR="004820FC" w:rsidRPr="00932B7F" w:rsidRDefault="004820FC" w:rsidP="004820FC">
      <w:pPr>
        <w:pStyle w:val="Default"/>
        <w:ind w:left="567"/>
        <w:jc w:val="both"/>
        <w:rPr>
          <w:sz w:val="20"/>
          <w:szCs w:val="20"/>
        </w:rPr>
      </w:pPr>
      <w:r w:rsidRPr="00932B7F">
        <w:rPr>
          <w:b/>
          <w:bCs/>
          <w:i/>
          <w:iCs/>
          <w:sz w:val="20"/>
          <w:szCs w:val="20"/>
        </w:rPr>
        <w:t xml:space="preserve">В течение времени существования Эмитента его фирменное наименование изменялось. </w:t>
      </w:r>
    </w:p>
    <w:p w14:paraId="646D02E9" w14:textId="77777777" w:rsidR="004820FC" w:rsidRPr="00932B7F" w:rsidRDefault="004820FC" w:rsidP="004820FC">
      <w:pPr>
        <w:pStyle w:val="Default"/>
        <w:ind w:left="567"/>
        <w:jc w:val="both"/>
        <w:rPr>
          <w:sz w:val="20"/>
          <w:szCs w:val="20"/>
        </w:rPr>
      </w:pPr>
      <w:r w:rsidRPr="00932B7F">
        <w:rPr>
          <w:sz w:val="20"/>
          <w:szCs w:val="20"/>
        </w:rPr>
        <w:t xml:space="preserve">Все предшествующие полные фирменные наименования и организационно-правовая форма: </w:t>
      </w:r>
    </w:p>
    <w:p w14:paraId="45158D52" w14:textId="77777777" w:rsidR="004820FC" w:rsidRPr="00932B7F" w:rsidRDefault="004820FC" w:rsidP="004820FC">
      <w:pPr>
        <w:pStyle w:val="Default"/>
        <w:ind w:left="567"/>
        <w:jc w:val="both"/>
        <w:rPr>
          <w:sz w:val="20"/>
          <w:szCs w:val="20"/>
        </w:rPr>
      </w:pPr>
      <w:r w:rsidRPr="00932B7F">
        <w:rPr>
          <w:b/>
          <w:bCs/>
          <w:i/>
          <w:iCs/>
          <w:sz w:val="20"/>
          <w:szCs w:val="20"/>
        </w:rPr>
        <w:t xml:space="preserve">Полное и сокращенное фирменные наименования на дату государственной регистрации Эмитента (на 07.11.2006): </w:t>
      </w:r>
    </w:p>
    <w:p w14:paraId="66DB531C" w14:textId="77777777" w:rsidR="004820FC" w:rsidRPr="00932B7F" w:rsidRDefault="004820FC" w:rsidP="004820FC">
      <w:pPr>
        <w:pStyle w:val="Default"/>
        <w:ind w:left="567"/>
        <w:jc w:val="both"/>
        <w:rPr>
          <w:sz w:val="20"/>
          <w:szCs w:val="20"/>
        </w:rPr>
      </w:pPr>
      <w:r w:rsidRPr="00932B7F">
        <w:rPr>
          <w:sz w:val="20"/>
          <w:szCs w:val="20"/>
        </w:rPr>
        <w:t xml:space="preserve">Предшествующее полное фирменное наименование и организационно-правовая форма: </w:t>
      </w:r>
      <w:r w:rsidRPr="00932B7F">
        <w:rPr>
          <w:b/>
          <w:bCs/>
          <w:i/>
          <w:iCs/>
          <w:sz w:val="20"/>
          <w:szCs w:val="20"/>
        </w:rPr>
        <w:t xml:space="preserve">Общество с ограниченной ответственностью «ОЗЕРКИ» </w:t>
      </w:r>
    </w:p>
    <w:p w14:paraId="07104E97" w14:textId="77777777" w:rsidR="004820FC" w:rsidRPr="00932B7F" w:rsidRDefault="004820FC" w:rsidP="004820FC">
      <w:pPr>
        <w:pStyle w:val="Default"/>
        <w:ind w:left="567"/>
        <w:jc w:val="both"/>
        <w:rPr>
          <w:sz w:val="20"/>
          <w:szCs w:val="20"/>
        </w:rPr>
      </w:pPr>
      <w:r w:rsidRPr="00932B7F">
        <w:rPr>
          <w:sz w:val="20"/>
          <w:szCs w:val="20"/>
        </w:rPr>
        <w:t xml:space="preserve">Предшествующее сокращенное фирменное наименование и организационно-правовая форма: </w:t>
      </w:r>
      <w:r w:rsidRPr="00932B7F">
        <w:rPr>
          <w:b/>
          <w:bCs/>
          <w:i/>
          <w:iCs/>
          <w:sz w:val="20"/>
          <w:szCs w:val="20"/>
        </w:rPr>
        <w:t xml:space="preserve">ООО «ОЗЕРКИ» </w:t>
      </w:r>
    </w:p>
    <w:p w14:paraId="17A39C2C" w14:textId="77777777" w:rsidR="004820FC" w:rsidRPr="00932B7F" w:rsidRDefault="004820FC" w:rsidP="004820FC">
      <w:pPr>
        <w:ind w:left="567"/>
        <w:jc w:val="both"/>
        <w:rPr>
          <w:rFonts w:eastAsia="Tahoma"/>
        </w:rPr>
      </w:pPr>
      <w:r w:rsidRPr="00932B7F">
        <w:rPr>
          <w:sz w:val="20"/>
          <w:szCs w:val="20"/>
        </w:rPr>
        <w:t xml:space="preserve">Дата и основания изменения: </w:t>
      </w:r>
      <w:r w:rsidRPr="00932B7F">
        <w:rPr>
          <w:b/>
          <w:bCs/>
          <w:i/>
          <w:iCs/>
          <w:sz w:val="20"/>
          <w:szCs w:val="20"/>
        </w:rPr>
        <w:t>Решением единственного участника от 03 марта 2017 года общество переименовано в Общество с ограниченной ответственностью «ФИНКОНСАЛТ» (ООО «ФИНКОНСАЛТ»). Устав в новой редакции зарегистрирован Межрайонной ИФНС России №15 по Санкт-Петербургу 14 марта 2017 года.</w:t>
      </w:r>
    </w:p>
    <w:p w14:paraId="7AAB08FD" w14:textId="77777777" w:rsidR="0067080E" w:rsidRPr="00932B7F" w:rsidRDefault="00725806">
      <w:pPr>
        <w:ind w:left="560"/>
      </w:pPr>
      <w:r w:rsidRPr="00932B7F">
        <w:rPr>
          <w:rFonts w:eastAsia="Tahoma"/>
        </w:rPr>
        <w:t xml:space="preserve">ОГРН: </w:t>
      </w:r>
      <w:r w:rsidR="004820FC" w:rsidRPr="00932B7F">
        <w:rPr>
          <w:b/>
          <w:bCs/>
          <w:i/>
          <w:iCs/>
          <w:sz w:val="20"/>
          <w:szCs w:val="20"/>
        </w:rPr>
        <w:t>5067847510418</w:t>
      </w:r>
    </w:p>
    <w:p w14:paraId="0E84DD48" w14:textId="77777777" w:rsidR="0067080E" w:rsidRPr="00932B7F" w:rsidRDefault="0067080E">
      <w:pPr>
        <w:spacing w:line="241" w:lineRule="exact"/>
      </w:pPr>
    </w:p>
    <w:p w14:paraId="1A29C0F1" w14:textId="77777777" w:rsidR="0067080E" w:rsidRPr="00932B7F" w:rsidRDefault="00725806" w:rsidP="00DE3360">
      <w:r w:rsidRPr="00DE3360">
        <w:rPr>
          <w:rFonts w:eastAsia="Tahoma"/>
          <w:b/>
        </w:rPr>
        <w:t>Дата регистрации Общества</w:t>
      </w:r>
      <w:r w:rsidRPr="00531121">
        <w:rPr>
          <w:rFonts w:eastAsia="Tahoma"/>
          <w:b/>
        </w:rPr>
        <w:t>:</w:t>
      </w:r>
      <w:r w:rsidRPr="00932B7F">
        <w:rPr>
          <w:rFonts w:eastAsia="Tahoma"/>
        </w:rPr>
        <w:t xml:space="preserve"> </w:t>
      </w:r>
      <w:r w:rsidR="004820FC" w:rsidRPr="00932B7F">
        <w:rPr>
          <w:b/>
          <w:i/>
        </w:rPr>
        <w:t>07</w:t>
      </w:r>
      <w:r w:rsidR="00842AA9" w:rsidRPr="00932B7F">
        <w:rPr>
          <w:b/>
          <w:i/>
        </w:rPr>
        <w:t>.</w:t>
      </w:r>
      <w:r w:rsidR="004820FC" w:rsidRPr="00932B7F">
        <w:rPr>
          <w:b/>
          <w:i/>
        </w:rPr>
        <w:t>11</w:t>
      </w:r>
      <w:r w:rsidR="00842AA9" w:rsidRPr="00932B7F">
        <w:rPr>
          <w:b/>
          <w:i/>
        </w:rPr>
        <w:t>.200</w:t>
      </w:r>
      <w:r w:rsidR="004820FC" w:rsidRPr="00932B7F">
        <w:rPr>
          <w:b/>
          <w:i/>
        </w:rPr>
        <w:t>6</w:t>
      </w:r>
    </w:p>
    <w:p w14:paraId="4EDB905A" w14:textId="77777777" w:rsidR="0067080E" w:rsidRPr="00932B7F" w:rsidRDefault="0067080E">
      <w:pPr>
        <w:spacing w:line="243" w:lineRule="exact"/>
      </w:pPr>
    </w:p>
    <w:p w14:paraId="583DAC61" w14:textId="77777777" w:rsidR="0067080E" w:rsidRPr="00932B7F" w:rsidRDefault="00725806" w:rsidP="00DE3360">
      <w:pPr>
        <w:spacing w:line="239" w:lineRule="auto"/>
        <w:ind w:left="560" w:firstLine="7"/>
      </w:pPr>
      <w:r w:rsidRPr="00932B7F">
        <w:rPr>
          <w:rFonts w:eastAsia="Tahoma"/>
        </w:rPr>
        <w:t xml:space="preserve">Наименование регистрирующего органа: </w:t>
      </w:r>
      <w:r w:rsidR="004820FC" w:rsidRPr="00932B7F">
        <w:rPr>
          <w:b/>
          <w:bCs/>
          <w:i/>
          <w:iCs/>
          <w:sz w:val="20"/>
          <w:szCs w:val="20"/>
        </w:rPr>
        <w:t>Межрайонная инспекция Федеральной налоговой службы №15 по Санкт-Петербургу</w:t>
      </w:r>
    </w:p>
    <w:p w14:paraId="510ADD5A" w14:textId="77777777" w:rsidR="0067080E" w:rsidRPr="00932B7F" w:rsidRDefault="0067080E">
      <w:pPr>
        <w:spacing w:line="242" w:lineRule="exact"/>
      </w:pPr>
    </w:p>
    <w:p w14:paraId="28DAB6EA" w14:textId="77777777" w:rsidR="0067080E" w:rsidRPr="00932B7F" w:rsidRDefault="00725806" w:rsidP="004820FC">
      <w:pPr>
        <w:ind w:left="560"/>
        <w:rPr>
          <w:b/>
          <w:bCs/>
          <w:i/>
          <w:iCs/>
          <w:sz w:val="20"/>
          <w:szCs w:val="20"/>
        </w:rPr>
      </w:pPr>
      <w:r w:rsidRPr="00932B7F">
        <w:rPr>
          <w:rFonts w:eastAsia="Tahoma"/>
        </w:rPr>
        <w:t xml:space="preserve">Идентификационный номер налогоплательщика (ИНН): </w:t>
      </w:r>
      <w:r w:rsidR="004820FC" w:rsidRPr="00932B7F">
        <w:rPr>
          <w:b/>
          <w:bCs/>
          <w:i/>
          <w:iCs/>
          <w:sz w:val="20"/>
          <w:szCs w:val="20"/>
        </w:rPr>
        <w:t>7842345591</w:t>
      </w:r>
    </w:p>
    <w:p w14:paraId="69A7F417" w14:textId="77777777" w:rsidR="004820FC" w:rsidRPr="00932B7F" w:rsidRDefault="004820FC" w:rsidP="004820FC">
      <w:pPr>
        <w:ind w:left="560"/>
      </w:pPr>
    </w:p>
    <w:p w14:paraId="6B4C0253" w14:textId="77777777" w:rsidR="0067080E" w:rsidRPr="00932B7F" w:rsidRDefault="00725806">
      <w:r w:rsidRPr="00932B7F">
        <w:rPr>
          <w:rFonts w:eastAsia="Tahoma"/>
          <w:b/>
          <w:bCs/>
        </w:rPr>
        <w:t>Контактные данные Общества:</w:t>
      </w:r>
    </w:p>
    <w:p w14:paraId="5E02208A" w14:textId="62F4DD91" w:rsidR="004820FC" w:rsidRPr="00E40AA0" w:rsidRDefault="00725806" w:rsidP="00531121">
      <w:pPr>
        <w:spacing w:line="238" w:lineRule="auto"/>
        <w:ind w:left="560"/>
        <w:jc w:val="both"/>
        <w:rPr>
          <w:rFonts w:eastAsia="Tahoma"/>
          <w:b/>
          <w:bCs/>
          <w:i/>
          <w:iCs/>
        </w:rPr>
      </w:pPr>
      <w:r w:rsidRPr="00932B7F">
        <w:rPr>
          <w:rFonts w:eastAsia="Tahoma"/>
        </w:rPr>
        <w:t xml:space="preserve">Место нахождения Общества: </w:t>
      </w:r>
      <w:r w:rsidR="00FD6963" w:rsidRPr="00E40AA0">
        <w:rPr>
          <w:rFonts w:eastAsia="Tahoma"/>
          <w:b/>
          <w:bCs/>
          <w:i/>
          <w:iCs/>
        </w:rPr>
        <w:t>197101, город Санкт-Петербург, улица Дивенская, дом 3, литер Е, помещение 25</w:t>
      </w:r>
      <w:r w:rsidR="00386470" w:rsidRPr="00E40AA0">
        <w:rPr>
          <w:rFonts w:eastAsia="Tahoma"/>
          <w:b/>
          <w:bCs/>
          <w:i/>
          <w:iCs/>
        </w:rPr>
        <w:t>.</w:t>
      </w:r>
    </w:p>
    <w:p w14:paraId="12A727AD" w14:textId="42E3E361" w:rsidR="004820FC" w:rsidRPr="00E40AA0" w:rsidRDefault="00725806" w:rsidP="00531121">
      <w:pPr>
        <w:spacing w:line="238" w:lineRule="auto"/>
        <w:ind w:left="560"/>
        <w:jc w:val="both"/>
        <w:rPr>
          <w:rFonts w:eastAsia="Tahoma"/>
          <w:b/>
          <w:bCs/>
          <w:i/>
          <w:iCs/>
        </w:rPr>
      </w:pPr>
      <w:r w:rsidRPr="00932B7F">
        <w:rPr>
          <w:rFonts w:eastAsia="Tahoma"/>
        </w:rPr>
        <w:t xml:space="preserve">Адрес для направления Обществу почтовой корреспонденции (в случае его наличия): </w:t>
      </w:r>
      <w:r w:rsidR="00FD6963" w:rsidRPr="00E40AA0">
        <w:rPr>
          <w:rFonts w:eastAsia="Tahoma"/>
          <w:b/>
          <w:bCs/>
          <w:i/>
          <w:iCs/>
        </w:rPr>
        <w:t>197101, город Санкт-Петербург, улица Дивенская, дом 3, литер Е, помещение 25</w:t>
      </w:r>
      <w:r w:rsidR="00386470" w:rsidRPr="00E40AA0">
        <w:rPr>
          <w:rFonts w:eastAsia="Tahoma"/>
          <w:b/>
          <w:bCs/>
          <w:i/>
          <w:iCs/>
        </w:rPr>
        <w:t>.</w:t>
      </w:r>
    </w:p>
    <w:p w14:paraId="31A9CDA6" w14:textId="77777777" w:rsidR="0067080E" w:rsidRPr="00932B7F" w:rsidRDefault="00725806" w:rsidP="00531121">
      <w:pPr>
        <w:spacing w:line="238" w:lineRule="auto"/>
        <w:ind w:left="560"/>
        <w:jc w:val="both"/>
      </w:pPr>
      <w:r w:rsidRPr="00932B7F">
        <w:rPr>
          <w:rFonts w:eastAsia="Tahoma"/>
        </w:rPr>
        <w:t xml:space="preserve">Телефон: </w:t>
      </w:r>
      <w:r w:rsidR="00835751" w:rsidRPr="00932B7F">
        <w:rPr>
          <w:rFonts w:eastAsia="Tahoma"/>
          <w:b/>
          <w:bCs/>
          <w:i/>
          <w:iCs/>
        </w:rPr>
        <w:t xml:space="preserve">(812) </w:t>
      </w:r>
      <w:r w:rsidR="004820FC" w:rsidRPr="00932B7F">
        <w:rPr>
          <w:b/>
          <w:bCs/>
          <w:i/>
          <w:iCs/>
          <w:sz w:val="20"/>
          <w:szCs w:val="20"/>
        </w:rPr>
        <w:t>622-11-99</w:t>
      </w:r>
    </w:p>
    <w:p w14:paraId="5A431CD0" w14:textId="77777777" w:rsidR="0067080E" w:rsidRPr="00932B7F" w:rsidRDefault="0067080E" w:rsidP="00531121">
      <w:pPr>
        <w:spacing w:line="2" w:lineRule="exact"/>
        <w:jc w:val="both"/>
      </w:pPr>
    </w:p>
    <w:p w14:paraId="5BB54AA7" w14:textId="77777777" w:rsidR="0067080E" w:rsidRPr="00932B7F" w:rsidRDefault="00725806" w:rsidP="00531121">
      <w:pPr>
        <w:ind w:left="560"/>
        <w:jc w:val="both"/>
      </w:pPr>
      <w:r w:rsidRPr="00932B7F">
        <w:rPr>
          <w:rFonts w:eastAsia="Tahoma"/>
        </w:rPr>
        <w:t xml:space="preserve">Факс: </w:t>
      </w:r>
      <w:r w:rsidR="00835751" w:rsidRPr="00932B7F">
        <w:rPr>
          <w:rFonts w:eastAsia="Tahoma"/>
          <w:b/>
          <w:bCs/>
          <w:i/>
          <w:iCs/>
        </w:rPr>
        <w:t>(812) 622-1201</w:t>
      </w:r>
    </w:p>
    <w:p w14:paraId="54FDC282" w14:textId="77777777" w:rsidR="0067080E" w:rsidRPr="00932B7F" w:rsidRDefault="00725806" w:rsidP="00531121">
      <w:pPr>
        <w:spacing w:line="238" w:lineRule="auto"/>
        <w:ind w:left="560"/>
        <w:jc w:val="both"/>
      </w:pPr>
      <w:r w:rsidRPr="00932B7F">
        <w:rPr>
          <w:rFonts w:eastAsia="Tahoma"/>
        </w:rPr>
        <w:t>Адрес электронной почты</w:t>
      </w:r>
      <w:r w:rsidRPr="00932B7F">
        <w:rPr>
          <w:rFonts w:eastAsia="Tahoma"/>
          <w:b/>
          <w:bCs/>
          <w:i/>
          <w:iCs/>
        </w:rPr>
        <w:t xml:space="preserve">: </w:t>
      </w:r>
      <w:r w:rsidR="004820FC" w:rsidRPr="00932B7F">
        <w:rPr>
          <w:b/>
          <w:bCs/>
          <w:i/>
          <w:iCs/>
          <w:sz w:val="20"/>
          <w:szCs w:val="20"/>
        </w:rPr>
        <w:t>info@finconsult-spb.ru</w:t>
      </w:r>
    </w:p>
    <w:p w14:paraId="261BC6E6" w14:textId="77777777" w:rsidR="0067080E" w:rsidRPr="00932B7F" w:rsidRDefault="0067080E" w:rsidP="00531121">
      <w:pPr>
        <w:spacing w:line="4" w:lineRule="exact"/>
        <w:jc w:val="both"/>
      </w:pPr>
    </w:p>
    <w:p w14:paraId="173BDF57" w14:textId="2D4FBF2D" w:rsidR="00F7077F" w:rsidRDefault="00725806" w:rsidP="00531121">
      <w:pPr>
        <w:spacing w:line="239" w:lineRule="auto"/>
        <w:ind w:left="567" w:right="60"/>
        <w:jc w:val="both"/>
        <w:rPr>
          <w:rFonts w:eastAsia="Tahoma"/>
        </w:rPr>
      </w:pPr>
      <w:r w:rsidRPr="00932B7F">
        <w:rPr>
          <w:rFonts w:eastAsia="Tahoma"/>
        </w:rPr>
        <w:t xml:space="preserve">Адрес страницы (страниц) в сети Интернет, на которой (на которых) доступна информация об Обществе, выпущенных и/или выпускаемых им ценных бумагах: </w:t>
      </w:r>
    </w:p>
    <w:p w14:paraId="12AA3EF2" w14:textId="13C6DF27" w:rsidR="0067080E" w:rsidRPr="00932B7F" w:rsidRDefault="00354F33" w:rsidP="00531121">
      <w:pPr>
        <w:spacing w:line="239" w:lineRule="auto"/>
        <w:ind w:left="567" w:right="60"/>
        <w:jc w:val="both"/>
        <w:rPr>
          <w:rFonts w:eastAsia="Tahoma"/>
        </w:rPr>
      </w:pPr>
      <w:hyperlink r:id="rId7" w:history="1">
        <w:r w:rsidR="00F7077F" w:rsidRPr="003A3A1A">
          <w:rPr>
            <w:rStyle w:val="a3"/>
            <w:b/>
            <w:bCs/>
            <w:i/>
            <w:iCs/>
            <w:sz w:val="20"/>
            <w:szCs w:val="20"/>
          </w:rPr>
          <w:t>http://www.e-disclosure.ru/portal/company.aspx?id=37156</w:t>
        </w:r>
      </w:hyperlink>
      <w:r w:rsidR="004820FC" w:rsidRPr="00932B7F">
        <w:rPr>
          <w:b/>
          <w:bCs/>
          <w:i/>
          <w:iCs/>
          <w:sz w:val="20"/>
          <w:szCs w:val="20"/>
        </w:rPr>
        <w:t xml:space="preserve">,  </w:t>
      </w:r>
      <w:hyperlink r:id="rId8" w:history="1">
        <w:r w:rsidR="004820FC" w:rsidRPr="00932B7F">
          <w:rPr>
            <w:rStyle w:val="a3"/>
            <w:b/>
            <w:bCs/>
            <w:i/>
            <w:iCs/>
            <w:sz w:val="20"/>
            <w:szCs w:val="20"/>
            <w:lang w:val="en-US"/>
          </w:rPr>
          <w:t>www</w:t>
        </w:r>
        <w:r w:rsidR="004820FC" w:rsidRPr="00932B7F">
          <w:rPr>
            <w:rStyle w:val="a3"/>
            <w:b/>
            <w:bCs/>
            <w:i/>
            <w:iCs/>
            <w:sz w:val="20"/>
            <w:szCs w:val="20"/>
          </w:rPr>
          <w:t>.finconsult-spb.ru</w:t>
        </w:r>
      </w:hyperlink>
      <w:r w:rsidR="004820FC" w:rsidRPr="00932B7F">
        <w:rPr>
          <w:b/>
          <w:bCs/>
          <w:i/>
          <w:iCs/>
          <w:sz w:val="20"/>
          <w:szCs w:val="20"/>
        </w:rPr>
        <w:t xml:space="preserve"> .</w:t>
      </w:r>
    </w:p>
    <w:p w14:paraId="5E0268D4" w14:textId="4D0941A1" w:rsidR="0067080E" w:rsidRPr="00932B7F" w:rsidRDefault="00725806" w:rsidP="00531121">
      <w:pPr>
        <w:spacing w:line="239" w:lineRule="auto"/>
        <w:ind w:left="560" w:firstLine="7"/>
        <w:jc w:val="both"/>
      </w:pPr>
      <w:r w:rsidRPr="00932B7F">
        <w:rPr>
          <w:rFonts w:eastAsia="Tahoma"/>
        </w:rPr>
        <w:t xml:space="preserve">Специальное подразделение Общества (третьего лица) по работе с участниками и инвесторами Общества: </w:t>
      </w:r>
      <w:r w:rsidRPr="00E40AA0">
        <w:rPr>
          <w:rFonts w:eastAsia="Tahoma"/>
          <w:b/>
          <w:bCs/>
          <w:i/>
          <w:iCs/>
        </w:rPr>
        <w:t>отсутствует.</w:t>
      </w:r>
    </w:p>
    <w:p w14:paraId="1D7C7F5C" w14:textId="77777777" w:rsidR="0067080E" w:rsidRPr="00932B7F" w:rsidRDefault="0067080E">
      <w:pPr>
        <w:spacing w:line="241" w:lineRule="exact"/>
        <w:rPr>
          <w:rFonts w:eastAsia="Tahoma"/>
        </w:rPr>
      </w:pPr>
    </w:p>
    <w:p w14:paraId="4C2EA6F1" w14:textId="77777777" w:rsidR="0067080E" w:rsidRPr="00932B7F" w:rsidRDefault="00725806" w:rsidP="00531121">
      <w:r w:rsidRPr="00531121">
        <w:rPr>
          <w:rFonts w:eastAsia="Tahoma"/>
          <w:b/>
        </w:rPr>
        <w:t>Уставный капитал Общества:</w:t>
      </w:r>
      <w:r w:rsidRPr="00932B7F">
        <w:rPr>
          <w:rFonts w:eastAsia="Tahoma"/>
        </w:rPr>
        <w:t xml:space="preserve"> </w:t>
      </w:r>
      <w:r w:rsidR="004820FC" w:rsidRPr="00932B7F">
        <w:rPr>
          <w:rFonts w:eastAsia="Tahoma"/>
          <w:b/>
          <w:bCs/>
          <w:i/>
          <w:iCs/>
        </w:rPr>
        <w:t>2</w:t>
      </w:r>
      <w:r w:rsidRPr="00932B7F">
        <w:rPr>
          <w:rFonts w:eastAsia="Tahoma"/>
          <w:b/>
          <w:bCs/>
          <w:i/>
          <w:iCs/>
        </w:rPr>
        <w:t>0 000</w:t>
      </w:r>
      <w:r w:rsidRPr="00932B7F">
        <w:rPr>
          <w:rFonts w:eastAsia="Tahoma"/>
        </w:rPr>
        <w:t xml:space="preserve"> </w:t>
      </w:r>
      <w:r w:rsidRPr="00932B7F">
        <w:rPr>
          <w:rFonts w:eastAsia="Tahoma"/>
          <w:b/>
          <w:bCs/>
          <w:i/>
          <w:iCs/>
        </w:rPr>
        <w:t>рублей.</w:t>
      </w:r>
    </w:p>
    <w:p w14:paraId="34C74012" w14:textId="77777777" w:rsidR="0067080E" w:rsidRPr="00932B7F" w:rsidRDefault="0067080E">
      <w:pPr>
        <w:spacing w:line="246" w:lineRule="exact"/>
        <w:rPr>
          <w:rFonts w:eastAsia="Tahoma"/>
        </w:rPr>
      </w:pPr>
    </w:p>
    <w:p w14:paraId="06B25821" w14:textId="77777777" w:rsidR="00A9029F" w:rsidRPr="00531121" w:rsidRDefault="00A9029F" w:rsidP="00531121">
      <w:pPr>
        <w:rPr>
          <w:b/>
        </w:rPr>
      </w:pPr>
      <w:r w:rsidRPr="00531121">
        <w:rPr>
          <w:b/>
        </w:rPr>
        <w:t>Лица, контролирующие участника (акционера) эмитента:</w:t>
      </w:r>
    </w:p>
    <w:p w14:paraId="02EB8DBC" w14:textId="77777777" w:rsidR="00A9029F" w:rsidRPr="00932B7F" w:rsidRDefault="00A9029F" w:rsidP="00A9029F"/>
    <w:p w14:paraId="0E5F2799" w14:textId="77777777" w:rsidR="00996EF7" w:rsidRPr="00932B7F" w:rsidRDefault="00996EF7" w:rsidP="00531121">
      <w:pPr>
        <w:ind w:left="567"/>
        <w:jc w:val="both"/>
      </w:pPr>
      <w:r w:rsidRPr="00932B7F">
        <w:t>Полное фирменное наименование:</w:t>
      </w:r>
      <w:r w:rsidRPr="00932B7F">
        <w:rPr>
          <w:rStyle w:val="Subst"/>
          <w:bCs/>
          <w:iCs/>
        </w:rPr>
        <w:t xml:space="preserve"> ОБЩЕСТВО С ОГРАНИЧЕННОЙ ОТВЕТСТВЕННОСТЬЮ "ТЕТРАЭКОНОМАЛЬЯНС"</w:t>
      </w:r>
      <w:r w:rsidRPr="00932B7F">
        <w:rPr>
          <w:rStyle w:val="af4"/>
          <w:bCs/>
          <w:iCs/>
        </w:rPr>
        <w:t xml:space="preserve"> </w:t>
      </w:r>
    </w:p>
    <w:p w14:paraId="737EE229" w14:textId="77777777" w:rsidR="00996EF7" w:rsidRPr="00932B7F" w:rsidRDefault="00996EF7" w:rsidP="00531121">
      <w:pPr>
        <w:pStyle w:val="SubHeading"/>
        <w:spacing w:before="0" w:after="0"/>
        <w:ind w:left="567"/>
        <w:jc w:val="both"/>
        <w:rPr>
          <w:sz w:val="22"/>
          <w:szCs w:val="22"/>
        </w:rPr>
      </w:pPr>
      <w:r w:rsidRPr="00932B7F">
        <w:rPr>
          <w:sz w:val="22"/>
          <w:szCs w:val="22"/>
        </w:rPr>
        <w:t xml:space="preserve">Место нахождения: </w:t>
      </w:r>
      <w:r w:rsidRPr="00932B7F">
        <w:rPr>
          <w:rStyle w:val="Subst"/>
          <w:bCs/>
          <w:iCs/>
        </w:rPr>
        <w:t>115184, Г. МОСКВА, ВН. ТЕР. Г. МУНИЦИПАЛЬНЫЙ ОКРУГ ЗАМОСКВОРЕЧЬЕ, СТАРЫЙ ТОЛМАЧЁВСКИЙ ПЕР., Д. 5, ЭТАЖ 6, ПОМЕЩ. XX, ЧАСТЬ КОМНАТЫ 53</w:t>
      </w:r>
    </w:p>
    <w:p w14:paraId="65B726F8" w14:textId="12C50F5D" w:rsidR="00996EF7" w:rsidRDefault="00996EF7" w:rsidP="00531121">
      <w:pPr>
        <w:ind w:left="567"/>
        <w:jc w:val="both"/>
      </w:pPr>
      <w:r w:rsidRPr="00932B7F">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
    <w:p w14:paraId="2CEB15F6" w14:textId="77777777" w:rsidR="00677E35" w:rsidRPr="00932B7F" w:rsidRDefault="00677E35" w:rsidP="00531121">
      <w:pPr>
        <w:ind w:left="567"/>
        <w:jc w:val="both"/>
      </w:pPr>
    </w:p>
    <w:p w14:paraId="3E5EDD79" w14:textId="77777777" w:rsidR="00996EF7" w:rsidRPr="00932B7F" w:rsidRDefault="00996EF7" w:rsidP="00531121">
      <w:pPr>
        <w:ind w:left="567"/>
        <w:jc w:val="both"/>
      </w:pPr>
      <w:r w:rsidRPr="00932B7F">
        <w:t>Признак осуществления лицом, контролирующим участника (акционера) эмитента, такого контроля:</w:t>
      </w:r>
    </w:p>
    <w:p w14:paraId="58633B94" w14:textId="77777777" w:rsidR="00996EF7" w:rsidRPr="00932B7F" w:rsidRDefault="00996EF7" w:rsidP="00531121">
      <w:pPr>
        <w:ind w:left="567"/>
        <w:jc w:val="both"/>
      </w:pPr>
      <w:r w:rsidRPr="00932B7F">
        <w:t>Вид контроля:</w:t>
      </w:r>
      <w:r w:rsidRPr="00932B7F">
        <w:rPr>
          <w:rStyle w:val="Subst"/>
          <w:bCs/>
          <w:iCs/>
        </w:rPr>
        <w:t xml:space="preserve"> прямой контроль</w:t>
      </w:r>
    </w:p>
    <w:p w14:paraId="71F187B0" w14:textId="5A118CD6" w:rsidR="00996EF7" w:rsidRPr="00932B7F" w:rsidRDefault="00996EF7" w:rsidP="00531121">
      <w:pPr>
        <w:ind w:left="567"/>
        <w:jc w:val="both"/>
      </w:pPr>
      <w:r w:rsidRPr="00932B7F">
        <w:t>Размер доли такого лица в уставном (складочном) капитале участника (акционера) эмитента, %:</w:t>
      </w:r>
      <w:r w:rsidRPr="00932B7F">
        <w:rPr>
          <w:rStyle w:val="Subst"/>
          <w:bCs/>
          <w:iCs/>
        </w:rPr>
        <w:t xml:space="preserve"> 100</w:t>
      </w:r>
    </w:p>
    <w:p w14:paraId="59EF4C7E" w14:textId="772792AE" w:rsidR="00996EF7" w:rsidRDefault="00996EF7" w:rsidP="00531121">
      <w:pPr>
        <w:spacing w:line="242" w:lineRule="exact"/>
        <w:ind w:left="567"/>
        <w:jc w:val="both"/>
        <w:rPr>
          <w:rFonts w:eastAsia="Tahoma"/>
        </w:rPr>
      </w:pPr>
    </w:p>
    <w:p w14:paraId="44330B35" w14:textId="7541BC9A" w:rsidR="00531121" w:rsidRDefault="00531121" w:rsidP="00531121">
      <w:pPr>
        <w:spacing w:line="242" w:lineRule="exact"/>
        <w:ind w:left="567"/>
        <w:jc w:val="both"/>
        <w:rPr>
          <w:rFonts w:eastAsia="Tahoma"/>
        </w:rPr>
      </w:pPr>
    </w:p>
    <w:p w14:paraId="75ED63AB" w14:textId="77777777" w:rsidR="00531121" w:rsidRPr="00932B7F" w:rsidRDefault="00531121" w:rsidP="00531121">
      <w:pPr>
        <w:spacing w:line="242" w:lineRule="exact"/>
        <w:ind w:left="567"/>
        <w:jc w:val="both"/>
        <w:rPr>
          <w:rFonts w:eastAsia="Tahoma"/>
        </w:rPr>
      </w:pPr>
    </w:p>
    <w:p w14:paraId="6D53ACC0" w14:textId="77777777" w:rsidR="009A6AF0" w:rsidRPr="00932B7F" w:rsidRDefault="009A6AF0" w:rsidP="00A9029F">
      <w:pPr>
        <w:ind w:left="200"/>
      </w:pPr>
    </w:p>
    <w:p w14:paraId="4C2CB947" w14:textId="4DC0D01D" w:rsidR="0067080E" w:rsidRPr="00932B7F" w:rsidRDefault="00725806">
      <w:pPr>
        <w:spacing w:line="239" w:lineRule="auto"/>
      </w:pPr>
      <w:r w:rsidRPr="00932B7F">
        <w:rPr>
          <w:rFonts w:eastAsia="Tahoma"/>
          <w:b/>
          <w:bCs/>
        </w:rPr>
        <w:lastRenderedPageBreak/>
        <w:t>Сведения о банковских счетах Общества</w:t>
      </w:r>
      <w:r w:rsidR="00531121">
        <w:rPr>
          <w:rFonts w:eastAsia="Tahoma"/>
          <w:b/>
          <w:bCs/>
        </w:rPr>
        <w:t>:</w:t>
      </w:r>
    </w:p>
    <w:p w14:paraId="6ACCB6AD" w14:textId="77777777" w:rsidR="0067080E" w:rsidRPr="00932B7F" w:rsidRDefault="0067080E">
      <w:pPr>
        <w:spacing w:line="4" w:lineRule="exact"/>
        <w:rPr>
          <w:rFonts w:eastAsia="Tahoma"/>
        </w:rPr>
      </w:pPr>
    </w:p>
    <w:p w14:paraId="4F70AECC" w14:textId="1461E8A1" w:rsidR="00FA4C1B" w:rsidRPr="00932B7F" w:rsidRDefault="00FA4C1B" w:rsidP="00531121">
      <w:pPr>
        <w:pStyle w:val="SubHeading"/>
        <w:ind w:left="567"/>
        <w:jc w:val="both"/>
        <w:rPr>
          <w:sz w:val="22"/>
          <w:szCs w:val="22"/>
        </w:rPr>
      </w:pPr>
      <w:r w:rsidRPr="00932B7F">
        <w:rPr>
          <w:sz w:val="22"/>
          <w:szCs w:val="22"/>
        </w:rPr>
        <w:t>Сведения о кредитной организации</w:t>
      </w:r>
    </w:p>
    <w:p w14:paraId="01C534F1" w14:textId="77777777" w:rsidR="006551E1" w:rsidRPr="00932B7F" w:rsidRDefault="006551E1" w:rsidP="00531121">
      <w:pPr>
        <w:ind w:left="567"/>
        <w:jc w:val="both"/>
      </w:pPr>
      <w:r w:rsidRPr="00932B7F">
        <w:t>Полное фирменное наименование:</w:t>
      </w:r>
      <w:r w:rsidRPr="00932B7F">
        <w:rPr>
          <w:rStyle w:val="Subst"/>
          <w:bCs/>
          <w:iCs/>
        </w:rPr>
        <w:t xml:space="preserve"> Общество с ограниченной ответственностью «Инбанк»</w:t>
      </w:r>
    </w:p>
    <w:p w14:paraId="058CA765" w14:textId="77777777" w:rsidR="006551E1" w:rsidRPr="00932B7F" w:rsidRDefault="006551E1" w:rsidP="00531121">
      <w:pPr>
        <w:ind w:left="567"/>
        <w:jc w:val="both"/>
      </w:pPr>
      <w:r w:rsidRPr="00932B7F">
        <w:t>Сокращенное фирменное наименование:</w:t>
      </w:r>
      <w:r w:rsidRPr="00932B7F">
        <w:rPr>
          <w:rStyle w:val="Subst"/>
          <w:bCs/>
          <w:iCs/>
        </w:rPr>
        <w:t xml:space="preserve"> ООО "ИНБАНК"</w:t>
      </w:r>
    </w:p>
    <w:p w14:paraId="7FFE76C0" w14:textId="77777777" w:rsidR="006551E1" w:rsidRPr="00932B7F" w:rsidRDefault="006551E1" w:rsidP="00531121">
      <w:pPr>
        <w:ind w:left="567"/>
        <w:jc w:val="both"/>
      </w:pPr>
      <w:r w:rsidRPr="00932B7F">
        <w:t>Место нахождения:</w:t>
      </w:r>
      <w:r w:rsidRPr="00932B7F">
        <w:rPr>
          <w:rStyle w:val="Subst"/>
          <w:bCs/>
          <w:iCs/>
        </w:rPr>
        <w:t xml:space="preserve"> 115184, Россия, Москва, Старый Толмачевский переулок, дом 5</w:t>
      </w:r>
    </w:p>
    <w:p w14:paraId="601EA943" w14:textId="77777777" w:rsidR="006551E1" w:rsidRPr="00932B7F" w:rsidRDefault="006551E1" w:rsidP="00531121">
      <w:pPr>
        <w:ind w:left="567"/>
        <w:jc w:val="both"/>
      </w:pPr>
      <w:r w:rsidRPr="00932B7F">
        <w:t>ИНН:</w:t>
      </w:r>
      <w:r w:rsidRPr="00932B7F">
        <w:rPr>
          <w:rStyle w:val="Subst"/>
          <w:bCs/>
          <w:iCs/>
        </w:rPr>
        <w:t xml:space="preserve"> 5617000264</w:t>
      </w:r>
    </w:p>
    <w:p w14:paraId="13505445" w14:textId="77777777" w:rsidR="006551E1" w:rsidRPr="00932B7F" w:rsidRDefault="006551E1" w:rsidP="00531121">
      <w:pPr>
        <w:ind w:left="567"/>
        <w:jc w:val="both"/>
      </w:pPr>
      <w:r w:rsidRPr="00932B7F">
        <w:t>БИК:</w:t>
      </w:r>
      <w:r w:rsidRPr="00932B7F">
        <w:rPr>
          <w:rStyle w:val="Subst"/>
          <w:bCs/>
          <w:iCs/>
        </w:rPr>
        <w:t xml:space="preserve"> 044525308</w:t>
      </w:r>
    </w:p>
    <w:p w14:paraId="0BBDA83F" w14:textId="77777777" w:rsidR="006551E1" w:rsidRPr="00932B7F" w:rsidRDefault="006551E1" w:rsidP="00531121">
      <w:pPr>
        <w:ind w:left="567"/>
        <w:jc w:val="both"/>
      </w:pPr>
      <w:r w:rsidRPr="00932B7F">
        <w:t>Номер счета:</w:t>
      </w:r>
      <w:r w:rsidRPr="00932B7F">
        <w:rPr>
          <w:rStyle w:val="Subst"/>
          <w:bCs/>
          <w:iCs/>
        </w:rPr>
        <w:t xml:space="preserve"> 40702810000000022065</w:t>
      </w:r>
    </w:p>
    <w:p w14:paraId="05EC2FD0" w14:textId="77777777" w:rsidR="006551E1" w:rsidRPr="00932B7F" w:rsidRDefault="006551E1" w:rsidP="00531121">
      <w:pPr>
        <w:ind w:left="567"/>
        <w:jc w:val="both"/>
      </w:pPr>
      <w:r w:rsidRPr="00932B7F">
        <w:t>Корр. счет:</w:t>
      </w:r>
      <w:r w:rsidRPr="00932B7F">
        <w:rPr>
          <w:rStyle w:val="Subst"/>
          <w:bCs/>
          <w:iCs/>
        </w:rPr>
        <w:t xml:space="preserve"> 30101810245250000308</w:t>
      </w:r>
    </w:p>
    <w:p w14:paraId="50F2F782" w14:textId="77777777" w:rsidR="006551E1" w:rsidRPr="00932B7F" w:rsidRDefault="006551E1" w:rsidP="00531121">
      <w:pPr>
        <w:ind w:left="567"/>
        <w:jc w:val="both"/>
      </w:pPr>
      <w:r w:rsidRPr="00932B7F">
        <w:t>Тип счета:</w:t>
      </w:r>
      <w:r w:rsidRPr="00932B7F">
        <w:rPr>
          <w:rStyle w:val="Subst"/>
          <w:bCs/>
          <w:iCs/>
        </w:rPr>
        <w:t xml:space="preserve"> Расчетный</w:t>
      </w:r>
    </w:p>
    <w:p w14:paraId="35608FAA" w14:textId="77777777" w:rsidR="0067080E" w:rsidRPr="00932B7F" w:rsidRDefault="0067080E">
      <w:pPr>
        <w:spacing w:line="244" w:lineRule="exact"/>
        <w:rPr>
          <w:rFonts w:eastAsia="Tahoma"/>
        </w:rPr>
      </w:pPr>
    </w:p>
    <w:p w14:paraId="54744420" w14:textId="56BB3BA7" w:rsidR="0067080E" w:rsidRDefault="00725806" w:rsidP="00531121">
      <w:pPr>
        <w:rPr>
          <w:rFonts w:eastAsia="Tahoma"/>
          <w:b/>
          <w:bCs/>
        </w:rPr>
      </w:pPr>
      <w:r w:rsidRPr="00932B7F">
        <w:rPr>
          <w:rFonts w:eastAsia="Tahoma"/>
          <w:b/>
          <w:bCs/>
        </w:rPr>
        <w:t>Информация об аудиторе Общества:</w:t>
      </w:r>
    </w:p>
    <w:p w14:paraId="67EC4ADC" w14:textId="77777777" w:rsidR="00F7295A" w:rsidRPr="00932B7F" w:rsidRDefault="00F7295A" w:rsidP="00531121"/>
    <w:p w14:paraId="10272D69" w14:textId="77777777" w:rsidR="00A978A1" w:rsidRPr="0071159E" w:rsidRDefault="00A978A1" w:rsidP="00531121">
      <w:pPr>
        <w:autoSpaceDE w:val="0"/>
        <w:autoSpaceDN w:val="0"/>
        <w:ind w:left="567"/>
        <w:jc w:val="both"/>
        <w:rPr>
          <w:rFonts w:eastAsia="Times New Roman"/>
        </w:rPr>
      </w:pPr>
      <w:r w:rsidRPr="0071159E">
        <w:rPr>
          <w:rFonts w:eastAsia="Times New Roman"/>
        </w:rPr>
        <w:t>Полное фирменное наименование:</w:t>
      </w:r>
      <w:r w:rsidRPr="0071159E">
        <w:rPr>
          <w:rFonts w:eastAsia="Times New Roman"/>
          <w:b/>
          <w:i/>
        </w:rPr>
        <w:t xml:space="preserve"> Общество с ограниченной ответственностью "АСТ-АУДИТ"</w:t>
      </w:r>
    </w:p>
    <w:p w14:paraId="4A05D821" w14:textId="77777777" w:rsidR="00A978A1" w:rsidRPr="0071159E" w:rsidRDefault="00A978A1" w:rsidP="00531121">
      <w:pPr>
        <w:autoSpaceDE w:val="0"/>
        <w:autoSpaceDN w:val="0"/>
        <w:ind w:left="567"/>
        <w:jc w:val="both"/>
        <w:rPr>
          <w:rFonts w:eastAsia="Times New Roman"/>
        </w:rPr>
      </w:pPr>
      <w:r w:rsidRPr="0071159E">
        <w:rPr>
          <w:rFonts w:eastAsia="Times New Roman"/>
        </w:rPr>
        <w:t>Сокращенное фирменное наименование:</w:t>
      </w:r>
      <w:r w:rsidRPr="0071159E">
        <w:rPr>
          <w:rFonts w:eastAsia="Times New Roman"/>
          <w:b/>
          <w:i/>
        </w:rPr>
        <w:t xml:space="preserve"> ООО "АСТ-АУДИТ"</w:t>
      </w:r>
    </w:p>
    <w:p w14:paraId="5D4152A9" w14:textId="77777777" w:rsidR="00A978A1" w:rsidRPr="00531121" w:rsidRDefault="00A978A1" w:rsidP="00531121">
      <w:pPr>
        <w:autoSpaceDE w:val="0"/>
        <w:autoSpaceDN w:val="0"/>
        <w:ind w:left="567"/>
        <w:jc w:val="both"/>
        <w:rPr>
          <w:rFonts w:eastAsia="Times New Roman"/>
          <w:sz w:val="20"/>
          <w:szCs w:val="20"/>
        </w:rPr>
      </w:pPr>
      <w:r w:rsidRPr="0071159E">
        <w:rPr>
          <w:rFonts w:eastAsia="Times New Roman"/>
        </w:rPr>
        <w:t>Место нахождения:</w:t>
      </w:r>
      <w:r w:rsidRPr="0071159E">
        <w:rPr>
          <w:rFonts w:eastAsia="Times New Roman"/>
          <w:b/>
          <w:i/>
        </w:rPr>
        <w:t xml:space="preserve"> </w:t>
      </w:r>
      <w:r w:rsidRPr="00531121">
        <w:rPr>
          <w:rFonts w:eastAsia="Times New Roman"/>
          <w:b/>
          <w:i/>
          <w:sz w:val="20"/>
          <w:szCs w:val="20"/>
        </w:rPr>
        <w:t xml:space="preserve">191119, Санкт-Петербург, Лиговский пр., дом 111-113-115 лит. В, пом. 27н, офис 47 </w:t>
      </w:r>
    </w:p>
    <w:p w14:paraId="2E0D1415" w14:textId="77777777" w:rsidR="00A978A1" w:rsidRPr="0071159E" w:rsidRDefault="00A978A1" w:rsidP="00531121">
      <w:pPr>
        <w:autoSpaceDE w:val="0"/>
        <w:autoSpaceDN w:val="0"/>
        <w:ind w:left="567"/>
        <w:jc w:val="both"/>
        <w:rPr>
          <w:rFonts w:eastAsia="Times New Roman"/>
        </w:rPr>
      </w:pPr>
      <w:r w:rsidRPr="0071159E">
        <w:rPr>
          <w:rFonts w:eastAsia="Times New Roman"/>
        </w:rPr>
        <w:t>Идентификационный номер налогоплательщика (ИНН):</w:t>
      </w:r>
      <w:r w:rsidRPr="0071159E">
        <w:rPr>
          <w:rFonts w:eastAsia="Times New Roman"/>
          <w:b/>
          <w:i/>
        </w:rPr>
        <w:t xml:space="preserve"> 7840443240</w:t>
      </w:r>
    </w:p>
    <w:p w14:paraId="46C838AE" w14:textId="77777777" w:rsidR="00A978A1" w:rsidRPr="0071159E" w:rsidRDefault="00A978A1" w:rsidP="00531121">
      <w:pPr>
        <w:autoSpaceDE w:val="0"/>
        <w:autoSpaceDN w:val="0"/>
        <w:ind w:left="567"/>
        <w:jc w:val="both"/>
        <w:rPr>
          <w:rFonts w:eastAsia="Times New Roman"/>
        </w:rPr>
      </w:pPr>
      <w:r w:rsidRPr="0071159E">
        <w:rPr>
          <w:rFonts w:eastAsia="Times New Roman"/>
        </w:rPr>
        <w:t>ОГРН:</w:t>
      </w:r>
      <w:r w:rsidRPr="0071159E">
        <w:rPr>
          <w:rFonts w:eastAsia="Times New Roman"/>
          <w:b/>
          <w:i/>
        </w:rPr>
        <w:t xml:space="preserve"> 1109847030787</w:t>
      </w:r>
    </w:p>
    <w:p w14:paraId="0A3336E4" w14:textId="77777777" w:rsidR="00A978A1" w:rsidRPr="0071159E" w:rsidRDefault="00A978A1" w:rsidP="00531121">
      <w:pPr>
        <w:autoSpaceDE w:val="0"/>
        <w:autoSpaceDN w:val="0"/>
        <w:ind w:left="567"/>
        <w:jc w:val="both"/>
        <w:rPr>
          <w:rFonts w:eastAsia="Times New Roman"/>
        </w:rPr>
      </w:pPr>
      <w:r w:rsidRPr="0071159E">
        <w:rPr>
          <w:rFonts w:eastAsia="Times New Roman"/>
        </w:rPr>
        <w:t xml:space="preserve">Телефон/факс: </w:t>
      </w:r>
      <w:r w:rsidRPr="0071159E">
        <w:rPr>
          <w:rFonts w:eastAsia="Times New Roman"/>
          <w:b/>
          <w:i/>
          <w:sz w:val="20"/>
          <w:szCs w:val="20"/>
        </w:rPr>
        <w:t>(812) 939-11-29</w:t>
      </w:r>
    </w:p>
    <w:p w14:paraId="69CD8DD6" w14:textId="77777777" w:rsidR="00A978A1" w:rsidRPr="0071159E" w:rsidRDefault="00A978A1" w:rsidP="00531121">
      <w:pPr>
        <w:autoSpaceDE w:val="0"/>
        <w:autoSpaceDN w:val="0"/>
        <w:ind w:left="567"/>
        <w:jc w:val="both"/>
        <w:rPr>
          <w:rFonts w:eastAsia="Times New Roman"/>
          <w:b/>
          <w:i/>
        </w:rPr>
      </w:pPr>
      <w:r w:rsidRPr="0071159E">
        <w:rPr>
          <w:rFonts w:eastAsia="Times New Roman"/>
        </w:rPr>
        <w:t xml:space="preserve">Адрес электронной почты: </w:t>
      </w:r>
      <w:proofErr w:type="spellStart"/>
      <w:r w:rsidRPr="00E40AA0">
        <w:rPr>
          <w:rFonts w:eastAsia="Times New Roman"/>
          <w:b/>
          <w:i/>
          <w:sz w:val="20"/>
          <w:szCs w:val="20"/>
        </w:rPr>
        <w:t>ast</w:t>
      </w:r>
      <w:proofErr w:type="spellEnd"/>
      <w:r w:rsidRPr="00E40AA0">
        <w:rPr>
          <w:rFonts w:eastAsia="Times New Roman"/>
          <w:b/>
          <w:i/>
          <w:sz w:val="20"/>
          <w:szCs w:val="20"/>
        </w:rPr>
        <w:t>-audit@</w:t>
      </w:r>
      <w:proofErr w:type="spellStart"/>
      <w:r w:rsidRPr="00E40AA0">
        <w:rPr>
          <w:rFonts w:eastAsia="Times New Roman"/>
          <w:b/>
          <w:i/>
          <w:sz w:val="20"/>
          <w:szCs w:val="20"/>
        </w:rPr>
        <w:t>peterlink</w:t>
      </w:r>
      <w:proofErr w:type="spellEnd"/>
      <w:r w:rsidRPr="00E40AA0">
        <w:rPr>
          <w:rFonts w:eastAsia="Times New Roman"/>
          <w:b/>
          <w:i/>
          <w:sz w:val="20"/>
          <w:szCs w:val="20"/>
        </w:rPr>
        <w:t>.</w:t>
      </w:r>
      <w:proofErr w:type="spellStart"/>
      <w:r w:rsidRPr="00E40AA0">
        <w:rPr>
          <w:rFonts w:eastAsia="Times New Roman"/>
          <w:b/>
          <w:i/>
          <w:sz w:val="20"/>
          <w:szCs w:val="20"/>
        </w:rPr>
        <w:t>ru</w:t>
      </w:r>
      <w:proofErr w:type="spellEnd"/>
    </w:p>
    <w:p w14:paraId="0DC72FC0" w14:textId="6F00C7EA" w:rsidR="00A978A1" w:rsidRPr="0071159E" w:rsidRDefault="00A978A1" w:rsidP="00531121">
      <w:pPr>
        <w:widowControl w:val="0"/>
        <w:autoSpaceDE w:val="0"/>
        <w:autoSpaceDN w:val="0"/>
        <w:adjustRightInd w:val="0"/>
        <w:spacing w:before="240" w:after="40"/>
        <w:ind w:left="200" w:firstLine="367"/>
        <w:rPr>
          <w:rFonts w:eastAsia="Times New Roman"/>
        </w:rPr>
      </w:pPr>
      <w:r w:rsidRPr="0071159E">
        <w:rPr>
          <w:rFonts w:eastAsia="Times New Roman"/>
        </w:rPr>
        <w:t>Данные о членстве аудитора в саморегулируемых организациях аудиторов</w:t>
      </w:r>
      <w:r w:rsidR="00F7295A">
        <w:rPr>
          <w:rFonts w:eastAsia="Times New Roman"/>
        </w:rPr>
        <w:t>:</w:t>
      </w:r>
    </w:p>
    <w:p w14:paraId="2D7F8688" w14:textId="77777777" w:rsidR="00A978A1" w:rsidRPr="0071159E" w:rsidRDefault="00A978A1" w:rsidP="00531121">
      <w:pPr>
        <w:autoSpaceDE w:val="0"/>
        <w:autoSpaceDN w:val="0"/>
        <w:ind w:left="400" w:firstLine="167"/>
        <w:rPr>
          <w:rFonts w:eastAsia="Times New Roman"/>
        </w:rPr>
      </w:pPr>
      <w:r w:rsidRPr="0071159E">
        <w:rPr>
          <w:rFonts w:eastAsia="Times New Roman"/>
        </w:rPr>
        <w:t>Полное наименование:</w:t>
      </w:r>
      <w:r w:rsidRPr="0071159E">
        <w:rPr>
          <w:rFonts w:eastAsia="Times New Roman"/>
          <w:b/>
          <w:i/>
        </w:rPr>
        <w:t xml:space="preserve"> Саморегулируемая организация аудиторов Ассоциация «Содружество»</w:t>
      </w:r>
    </w:p>
    <w:p w14:paraId="1058E893" w14:textId="0C024EBA" w:rsidR="00A978A1" w:rsidRPr="0071159E" w:rsidRDefault="00A978A1" w:rsidP="00531121">
      <w:pPr>
        <w:widowControl w:val="0"/>
        <w:autoSpaceDE w:val="0"/>
        <w:autoSpaceDN w:val="0"/>
        <w:adjustRightInd w:val="0"/>
        <w:spacing w:before="240" w:after="40"/>
        <w:ind w:left="400" w:firstLine="167"/>
        <w:rPr>
          <w:rFonts w:eastAsia="Times New Roman"/>
        </w:rPr>
      </w:pPr>
      <w:r w:rsidRPr="0071159E">
        <w:rPr>
          <w:rFonts w:eastAsia="Times New Roman"/>
        </w:rPr>
        <w:t>Место нахождения</w:t>
      </w:r>
      <w:r w:rsidR="00F7295A">
        <w:rPr>
          <w:rFonts w:eastAsia="Times New Roman"/>
        </w:rPr>
        <w:t>:</w:t>
      </w:r>
    </w:p>
    <w:p w14:paraId="3DDF08B9" w14:textId="77777777" w:rsidR="00A978A1" w:rsidRPr="0071159E" w:rsidRDefault="00A978A1" w:rsidP="00531121">
      <w:pPr>
        <w:autoSpaceDE w:val="0"/>
        <w:autoSpaceDN w:val="0"/>
        <w:ind w:firstLine="567"/>
        <w:rPr>
          <w:rFonts w:eastAsia="Times New Roman"/>
        </w:rPr>
      </w:pPr>
      <w:r w:rsidRPr="0071159E">
        <w:rPr>
          <w:rFonts w:eastAsia="Times New Roman"/>
          <w:b/>
          <w:i/>
        </w:rPr>
        <w:t>119192 Российская Федерация, Москва, Мичуринский пр-т 21 корп. 4</w:t>
      </w:r>
    </w:p>
    <w:p w14:paraId="305E7953" w14:textId="5569653B" w:rsidR="00A978A1" w:rsidRPr="0071159E" w:rsidRDefault="00531121" w:rsidP="00531121">
      <w:pPr>
        <w:autoSpaceDE w:val="0"/>
        <w:autoSpaceDN w:val="0"/>
        <w:ind w:firstLine="567"/>
        <w:rPr>
          <w:rFonts w:eastAsia="Times New Roman"/>
        </w:rPr>
      </w:pPr>
      <w:r>
        <w:rPr>
          <w:rFonts w:eastAsia="Times New Roman"/>
        </w:rPr>
        <w:t>Д</w:t>
      </w:r>
      <w:r w:rsidR="00A978A1" w:rsidRPr="0071159E">
        <w:rPr>
          <w:rFonts w:eastAsia="Times New Roman"/>
        </w:rPr>
        <w:t>ополнительная информация:</w:t>
      </w:r>
    </w:p>
    <w:p w14:paraId="33613002" w14:textId="38904E5F" w:rsidR="00A978A1" w:rsidRPr="0071159E" w:rsidRDefault="00A978A1" w:rsidP="00531121">
      <w:pPr>
        <w:autoSpaceDE w:val="0"/>
        <w:autoSpaceDN w:val="0"/>
        <w:ind w:firstLine="567"/>
        <w:rPr>
          <w:rFonts w:eastAsia="Times New Roman"/>
        </w:rPr>
      </w:pPr>
      <w:r w:rsidRPr="0071159E">
        <w:rPr>
          <w:rFonts w:eastAsia="Times New Roman"/>
          <w:b/>
          <w:i/>
        </w:rPr>
        <w:t>ИНН 7729440813, ОГРН 1097799010870</w:t>
      </w:r>
    </w:p>
    <w:p w14:paraId="327B81D0" w14:textId="77777777" w:rsidR="00A978A1" w:rsidRPr="0071159E" w:rsidRDefault="00A978A1" w:rsidP="00531121">
      <w:pPr>
        <w:widowControl w:val="0"/>
        <w:autoSpaceDE w:val="0"/>
        <w:autoSpaceDN w:val="0"/>
        <w:adjustRightInd w:val="0"/>
        <w:spacing w:before="240" w:after="40"/>
        <w:ind w:left="567"/>
        <w:rPr>
          <w:rFonts w:eastAsia="Times New Roman"/>
        </w:rPr>
      </w:pPr>
      <w:r w:rsidRPr="0071159E">
        <w:rPr>
          <w:rFonts w:eastAsia="Times New Roman"/>
        </w:rPr>
        <w:t>Отчетный год (годы) за который (за которые) аудитором проводилась (будет проводиться) независимая проверка годовой бухгалтерской (финансовой) отчетности эмитента:</w:t>
      </w:r>
    </w:p>
    <w:p w14:paraId="472FCE2C" w14:textId="77777777" w:rsidR="00A978A1" w:rsidRPr="0071159E" w:rsidRDefault="00A978A1" w:rsidP="00A978A1">
      <w:pPr>
        <w:widowControl w:val="0"/>
        <w:autoSpaceDE w:val="0"/>
        <w:autoSpaceDN w:val="0"/>
        <w:adjustRightInd w:val="0"/>
        <w:rPr>
          <w:rFonts w:eastAsia="Times New Roman"/>
          <w:sz w:val="16"/>
          <w:szCs w:val="16"/>
        </w:rPr>
      </w:pPr>
    </w:p>
    <w:tbl>
      <w:tblPr>
        <w:tblW w:w="0" w:type="auto"/>
        <w:tblInd w:w="555" w:type="dxa"/>
        <w:tblLayout w:type="fixed"/>
        <w:tblCellMar>
          <w:left w:w="72" w:type="dxa"/>
          <w:right w:w="72" w:type="dxa"/>
        </w:tblCellMar>
        <w:tblLook w:val="04A0" w:firstRow="1" w:lastRow="0" w:firstColumn="1" w:lastColumn="0" w:noHBand="0" w:noVBand="1"/>
      </w:tblPr>
      <w:tblGrid>
        <w:gridCol w:w="2592"/>
        <w:gridCol w:w="2520"/>
      </w:tblGrid>
      <w:tr w:rsidR="00A978A1" w:rsidRPr="0071159E" w14:paraId="176588DE" w14:textId="77777777" w:rsidTr="00531121">
        <w:tc>
          <w:tcPr>
            <w:tcW w:w="2592" w:type="dxa"/>
            <w:tcBorders>
              <w:top w:val="double" w:sz="6" w:space="0" w:color="auto"/>
              <w:left w:val="double" w:sz="6" w:space="0" w:color="auto"/>
              <w:bottom w:val="single" w:sz="6" w:space="0" w:color="auto"/>
              <w:right w:val="single" w:sz="6" w:space="0" w:color="auto"/>
            </w:tcBorders>
            <w:hideMark/>
          </w:tcPr>
          <w:p w14:paraId="10053E03" w14:textId="77777777" w:rsidR="00A978A1" w:rsidRPr="0071159E" w:rsidRDefault="00A978A1">
            <w:pPr>
              <w:autoSpaceDE w:val="0"/>
              <w:autoSpaceDN w:val="0"/>
              <w:jc w:val="center"/>
              <w:rPr>
                <w:rFonts w:eastAsia="Times New Roman"/>
                <w:sz w:val="20"/>
                <w:szCs w:val="20"/>
              </w:rPr>
            </w:pPr>
            <w:r w:rsidRPr="0071159E">
              <w:rPr>
                <w:rFonts w:eastAsia="Times New Roman"/>
                <w:sz w:val="20"/>
                <w:szCs w:val="20"/>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hideMark/>
          </w:tcPr>
          <w:p w14:paraId="3428AC44" w14:textId="77777777" w:rsidR="00A978A1" w:rsidRPr="0071159E" w:rsidRDefault="00A978A1">
            <w:pPr>
              <w:autoSpaceDE w:val="0"/>
              <w:autoSpaceDN w:val="0"/>
              <w:jc w:val="center"/>
              <w:rPr>
                <w:rFonts w:eastAsia="Times New Roman"/>
                <w:sz w:val="20"/>
                <w:szCs w:val="20"/>
              </w:rPr>
            </w:pPr>
            <w:r w:rsidRPr="0071159E">
              <w:rPr>
                <w:rFonts w:eastAsia="Times New Roman"/>
                <w:sz w:val="20"/>
                <w:szCs w:val="20"/>
              </w:rPr>
              <w:t>Консолидированная финансовая отчетность, Год</w:t>
            </w:r>
          </w:p>
        </w:tc>
      </w:tr>
      <w:tr w:rsidR="00A978A1" w:rsidRPr="00175D6F" w14:paraId="6B142A99" w14:textId="77777777" w:rsidTr="00531121">
        <w:tc>
          <w:tcPr>
            <w:tcW w:w="2592" w:type="dxa"/>
            <w:tcBorders>
              <w:top w:val="single" w:sz="6" w:space="0" w:color="auto"/>
              <w:left w:val="double" w:sz="6" w:space="0" w:color="auto"/>
              <w:bottom w:val="single" w:sz="6" w:space="0" w:color="auto"/>
              <w:right w:val="single" w:sz="6" w:space="0" w:color="auto"/>
            </w:tcBorders>
            <w:hideMark/>
          </w:tcPr>
          <w:p w14:paraId="2D407029" w14:textId="145F584E" w:rsidR="00A978A1" w:rsidRPr="00E40AA0" w:rsidRDefault="00A978A1">
            <w:pPr>
              <w:autoSpaceDE w:val="0"/>
              <w:autoSpaceDN w:val="0"/>
              <w:rPr>
                <w:rFonts w:eastAsia="Times New Roman"/>
                <w:b/>
                <w:i/>
                <w:sz w:val="20"/>
                <w:szCs w:val="20"/>
              </w:rPr>
            </w:pPr>
            <w:r w:rsidRPr="00E40AA0">
              <w:rPr>
                <w:rFonts w:eastAsia="Times New Roman"/>
                <w:b/>
                <w:i/>
                <w:sz w:val="20"/>
                <w:szCs w:val="20"/>
              </w:rPr>
              <w:t>2023</w:t>
            </w:r>
          </w:p>
        </w:tc>
        <w:tc>
          <w:tcPr>
            <w:tcW w:w="2520" w:type="dxa"/>
            <w:tcBorders>
              <w:top w:val="single" w:sz="6" w:space="0" w:color="auto"/>
              <w:left w:val="single" w:sz="6" w:space="0" w:color="auto"/>
              <w:bottom w:val="single" w:sz="6" w:space="0" w:color="auto"/>
              <w:right w:val="double" w:sz="6" w:space="0" w:color="auto"/>
            </w:tcBorders>
          </w:tcPr>
          <w:p w14:paraId="1C1BA1A0" w14:textId="77777777" w:rsidR="00A978A1" w:rsidRPr="00175D6F" w:rsidRDefault="00A978A1">
            <w:pPr>
              <w:autoSpaceDE w:val="0"/>
              <w:autoSpaceDN w:val="0"/>
              <w:rPr>
                <w:rFonts w:eastAsia="Times New Roman"/>
                <w:sz w:val="20"/>
                <w:szCs w:val="20"/>
              </w:rPr>
            </w:pPr>
          </w:p>
        </w:tc>
      </w:tr>
    </w:tbl>
    <w:p w14:paraId="7FB3279D" w14:textId="77777777" w:rsidR="00A978A1" w:rsidRPr="00175D6F" w:rsidRDefault="00A978A1" w:rsidP="00531121">
      <w:pPr>
        <w:widowControl w:val="0"/>
        <w:autoSpaceDE w:val="0"/>
        <w:autoSpaceDN w:val="0"/>
        <w:adjustRightInd w:val="0"/>
        <w:spacing w:before="240" w:after="40"/>
        <w:ind w:left="567"/>
        <w:rPr>
          <w:rFonts w:eastAsia="Times New Roman"/>
        </w:rPr>
      </w:pPr>
      <w:r w:rsidRPr="00175D6F">
        <w:rPr>
          <w:rFonts w:eastAsia="Times New Roman"/>
        </w:rPr>
        <w:t>Периоды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14:paraId="1703B1F1" w14:textId="77777777" w:rsidR="00A978A1" w:rsidRPr="00175D6F" w:rsidRDefault="00A978A1" w:rsidP="00A978A1">
      <w:pPr>
        <w:widowControl w:val="0"/>
        <w:autoSpaceDE w:val="0"/>
        <w:autoSpaceDN w:val="0"/>
        <w:adjustRightInd w:val="0"/>
        <w:rPr>
          <w:rFonts w:eastAsia="Times New Roman"/>
          <w:sz w:val="16"/>
          <w:szCs w:val="16"/>
        </w:rPr>
      </w:pPr>
    </w:p>
    <w:tbl>
      <w:tblPr>
        <w:tblW w:w="0" w:type="auto"/>
        <w:tblInd w:w="5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2592"/>
        <w:gridCol w:w="2520"/>
      </w:tblGrid>
      <w:tr w:rsidR="00A978A1" w:rsidRPr="00175D6F" w14:paraId="51DB87DF" w14:textId="77777777" w:rsidTr="00531121">
        <w:tc>
          <w:tcPr>
            <w:tcW w:w="2592" w:type="dxa"/>
            <w:tcBorders>
              <w:top w:val="double" w:sz="6" w:space="0" w:color="auto"/>
              <w:left w:val="double" w:sz="6" w:space="0" w:color="auto"/>
              <w:bottom w:val="single" w:sz="6" w:space="0" w:color="auto"/>
              <w:right w:val="single" w:sz="6" w:space="0" w:color="auto"/>
            </w:tcBorders>
            <w:hideMark/>
          </w:tcPr>
          <w:p w14:paraId="03CE206E" w14:textId="77777777" w:rsidR="00A978A1" w:rsidRPr="00175D6F" w:rsidRDefault="00A978A1">
            <w:pPr>
              <w:autoSpaceDE w:val="0"/>
              <w:autoSpaceDN w:val="0"/>
              <w:jc w:val="center"/>
              <w:rPr>
                <w:rFonts w:eastAsia="Times New Roman"/>
                <w:sz w:val="20"/>
                <w:szCs w:val="20"/>
              </w:rPr>
            </w:pPr>
            <w:r w:rsidRPr="00175D6F">
              <w:rPr>
                <w:rFonts w:eastAsia="Times New Roman"/>
                <w:sz w:val="20"/>
                <w:szCs w:val="20"/>
              </w:rP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hideMark/>
          </w:tcPr>
          <w:p w14:paraId="15BEC014" w14:textId="77777777" w:rsidR="00A978A1" w:rsidRPr="00175D6F" w:rsidRDefault="00A978A1">
            <w:pPr>
              <w:autoSpaceDE w:val="0"/>
              <w:autoSpaceDN w:val="0"/>
              <w:jc w:val="center"/>
              <w:rPr>
                <w:rFonts w:eastAsia="Times New Roman"/>
                <w:sz w:val="20"/>
                <w:szCs w:val="20"/>
              </w:rPr>
            </w:pPr>
            <w:r w:rsidRPr="00175D6F">
              <w:rPr>
                <w:rFonts w:eastAsia="Times New Roman"/>
                <w:sz w:val="20"/>
                <w:szCs w:val="20"/>
              </w:rPr>
              <w:t>Консолидированная финансовая отчетность, Отчетная дата</w:t>
            </w:r>
          </w:p>
        </w:tc>
      </w:tr>
      <w:tr w:rsidR="00A978A1" w14:paraId="7DC54290" w14:textId="77777777" w:rsidTr="00531121">
        <w:tc>
          <w:tcPr>
            <w:tcW w:w="2592" w:type="dxa"/>
            <w:tcBorders>
              <w:top w:val="single" w:sz="6" w:space="0" w:color="auto"/>
              <w:left w:val="double" w:sz="6" w:space="0" w:color="auto"/>
              <w:bottom w:val="double" w:sz="6" w:space="0" w:color="auto"/>
              <w:right w:val="single" w:sz="6" w:space="0" w:color="auto"/>
            </w:tcBorders>
            <w:hideMark/>
          </w:tcPr>
          <w:p w14:paraId="6DF85039" w14:textId="1D404438" w:rsidR="00A978A1" w:rsidRPr="00E40AA0" w:rsidRDefault="00A978A1">
            <w:pPr>
              <w:autoSpaceDE w:val="0"/>
              <w:autoSpaceDN w:val="0"/>
              <w:rPr>
                <w:rFonts w:eastAsia="Times New Roman"/>
                <w:b/>
                <w:i/>
                <w:sz w:val="20"/>
                <w:szCs w:val="20"/>
              </w:rPr>
            </w:pPr>
            <w:r w:rsidRPr="00E40AA0">
              <w:rPr>
                <w:rFonts w:eastAsia="Times New Roman"/>
                <w:b/>
                <w:i/>
                <w:sz w:val="20"/>
                <w:szCs w:val="20"/>
              </w:rPr>
              <w:t>30.06.2023</w:t>
            </w:r>
          </w:p>
        </w:tc>
        <w:tc>
          <w:tcPr>
            <w:tcW w:w="2520" w:type="dxa"/>
            <w:tcBorders>
              <w:top w:val="single" w:sz="6" w:space="0" w:color="auto"/>
              <w:left w:val="single" w:sz="6" w:space="0" w:color="auto"/>
              <w:bottom w:val="double" w:sz="6" w:space="0" w:color="auto"/>
              <w:right w:val="double" w:sz="6" w:space="0" w:color="auto"/>
            </w:tcBorders>
          </w:tcPr>
          <w:p w14:paraId="6A2A8F38" w14:textId="77777777" w:rsidR="00A978A1" w:rsidRDefault="00A978A1">
            <w:pPr>
              <w:autoSpaceDE w:val="0"/>
              <w:autoSpaceDN w:val="0"/>
              <w:rPr>
                <w:rFonts w:eastAsia="Times New Roman"/>
                <w:sz w:val="20"/>
                <w:szCs w:val="20"/>
              </w:rPr>
            </w:pPr>
          </w:p>
        </w:tc>
      </w:tr>
    </w:tbl>
    <w:p w14:paraId="13978BBF" w14:textId="77777777" w:rsidR="00A978A1" w:rsidRDefault="00A978A1" w:rsidP="00A978A1">
      <w:pPr>
        <w:spacing w:after="120" w:line="240" w:lineRule="exact"/>
        <w:ind w:left="567"/>
        <w:jc w:val="both"/>
        <w:rPr>
          <w:lang w:eastAsia="en-US"/>
        </w:rPr>
      </w:pPr>
    </w:p>
    <w:p w14:paraId="491DF097" w14:textId="37E667F4" w:rsidR="00853D47" w:rsidRPr="00B72788" w:rsidRDefault="00853D47" w:rsidP="00531121">
      <w:pPr>
        <w:spacing w:after="120" w:line="240" w:lineRule="exact"/>
        <w:ind w:left="567"/>
        <w:jc w:val="both"/>
        <w:rPr>
          <w:lang w:eastAsia="en-US"/>
        </w:rPr>
      </w:pPr>
      <w:r w:rsidRPr="00932B7F">
        <w:rPr>
          <w:lang w:eastAsia="en-US"/>
        </w:rPr>
        <w:t>Факторы, которые могут оказать влияние на независимость аудитора (аудиторской организации) от эмитента, в т.ч.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B72788" w:rsidRPr="00B72788">
        <w:rPr>
          <w:lang w:eastAsia="en-US"/>
        </w:rPr>
        <w:t>:</w:t>
      </w:r>
    </w:p>
    <w:p w14:paraId="1CA3A963" w14:textId="54412DD7" w:rsidR="00AC1FE4" w:rsidRPr="00F7295A" w:rsidRDefault="00AC1FE4" w:rsidP="00531121">
      <w:pPr>
        <w:pStyle w:val="Default"/>
        <w:ind w:left="567"/>
        <w:jc w:val="both"/>
        <w:rPr>
          <w:b/>
          <w:i/>
          <w:color w:val="auto"/>
          <w:sz w:val="22"/>
          <w:szCs w:val="22"/>
          <w:lang w:eastAsia="en-US"/>
        </w:rPr>
      </w:pPr>
      <w:r w:rsidRPr="00F7295A">
        <w:rPr>
          <w:b/>
          <w:i/>
          <w:color w:val="auto"/>
          <w:sz w:val="22"/>
          <w:szCs w:val="22"/>
          <w:lang w:eastAsia="en-US"/>
        </w:rPr>
        <w:t>Факторов, которые могут оказать влияние на независимость аудиторской организации от Эмитента, а также существенных интересов, связывающих аудиторскую организацию с Эмитентом</w:t>
      </w:r>
      <w:r w:rsidR="00F7295A">
        <w:rPr>
          <w:b/>
          <w:i/>
          <w:color w:val="auto"/>
          <w:sz w:val="22"/>
          <w:szCs w:val="22"/>
          <w:lang w:eastAsia="en-US"/>
        </w:rPr>
        <w:t>,</w:t>
      </w:r>
      <w:r w:rsidRPr="00F7295A">
        <w:rPr>
          <w:b/>
          <w:i/>
          <w:color w:val="auto"/>
          <w:sz w:val="22"/>
          <w:szCs w:val="22"/>
          <w:lang w:eastAsia="en-US"/>
        </w:rPr>
        <w:t xml:space="preserve"> </w:t>
      </w:r>
      <w:r w:rsidRPr="00E40AA0">
        <w:rPr>
          <w:b/>
          <w:i/>
          <w:color w:val="auto"/>
          <w:sz w:val="22"/>
          <w:szCs w:val="22"/>
          <w:lang w:eastAsia="en-US"/>
        </w:rPr>
        <w:t>нет</w:t>
      </w:r>
      <w:r w:rsidRPr="00F7295A">
        <w:rPr>
          <w:b/>
          <w:i/>
          <w:color w:val="auto"/>
          <w:sz w:val="22"/>
          <w:szCs w:val="22"/>
          <w:lang w:eastAsia="en-US"/>
        </w:rPr>
        <w:t>.</w:t>
      </w:r>
    </w:p>
    <w:p w14:paraId="4DA5F290" w14:textId="77777777" w:rsidR="00AC1FE4" w:rsidRPr="00F7295A" w:rsidRDefault="00AC1FE4" w:rsidP="00531121">
      <w:pPr>
        <w:spacing w:after="120" w:line="22" w:lineRule="atLeast"/>
        <w:ind w:left="567"/>
        <w:jc w:val="both"/>
        <w:rPr>
          <w:b/>
          <w:i/>
          <w:lang w:eastAsia="en-US"/>
        </w:rPr>
      </w:pPr>
      <w:r w:rsidRPr="00F7295A">
        <w:rPr>
          <w:b/>
          <w:i/>
          <w:lang w:eastAsia="en-US"/>
        </w:rPr>
        <w:t xml:space="preserve">Эмитент и аудиторская организация отслеживают соблюдение законодательства. Факторы, которые могли оказать влияние на независимость аудиторской организации, отсутствуют. В соответствии с требованиями ст. 8 Федерального закона от 30.12.2008 №307-ФЗ «Об аудиторской деятельности» аудиторская организация является полностью независимой от органов управления Эмитента. </w:t>
      </w:r>
    </w:p>
    <w:p w14:paraId="72574F9B" w14:textId="77777777" w:rsidR="00853D47" w:rsidRPr="00932B7F" w:rsidRDefault="00853D47" w:rsidP="00531121">
      <w:pPr>
        <w:spacing w:after="120" w:line="22" w:lineRule="atLeast"/>
        <w:ind w:left="567"/>
        <w:jc w:val="both"/>
        <w:rPr>
          <w:lang w:eastAsia="en-US"/>
        </w:rPr>
      </w:pPr>
      <w:r w:rsidRPr="00932B7F">
        <w:rPr>
          <w:lang w:eastAsia="en-US"/>
        </w:rPr>
        <w:lastRenderedPageBreak/>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932B7F">
        <w:rPr>
          <w:b/>
          <w:i/>
          <w:lang w:eastAsia="en-US"/>
        </w:rPr>
        <w:t>отсутствуют.</w:t>
      </w:r>
      <w:r w:rsidRPr="00932B7F">
        <w:rPr>
          <w:lang w:eastAsia="en-US"/>
        </w:rPr>
        <w:t xml:space="preserve"> </w:t>
      </w:r>
    </w:p>
    <w:p w14:paraId="1A95F096" w14:textId="77777777" w:rsidR="00853D47" w:rsidRPr="00932B7F" w:rsidRDefault="00853D47" w:rsidP="00531121">
      <w:pPr>
        <w:spacing w:after="120" w:line="22" w:lineRule="atLeast"/>
        <w:ind w:left="567"/>
        <w:jc w:val="both"/>
        <w:rPr>
          <w:lang w:eastAsia="en-US"/>
        </w:rPr>
      </w:pPr>
      <w:r w:rsidRPr="00932B7F">
        <w:rPr>
          <w:lang w:eastAsia="en-US"/>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932B7F">
        <w:rPr>
          <w:b/>
          <w:i/>
          <w:lang w:eastAsia="en-US"/>
        </w:rPr>
        <w:t>отсутствуют.</w:t>
      </w:r>
    </w:p>
    <w:p w14:paraId="053B66F7" w14:textId="77777777" w:rsidR="00853D47" w:rsidRPr="00932B7F" w:rsidRDefault="00853D47" w:rsidP="00531121">
      <w:pPr>
        <w:spacing w:after="120" w:line="22" w:lineRule="atLeast"/>
        <w:ind w:left="567"/>
        <w:jc w:val="both"/>
        <w:rPr>
          <w:lang w:eastAsia="en-US"/>
        </w:rPr>
      </w:pPr>
      <w:r w:rsidRPr="00932B7F">
        <w:rPr>
          <w:lang w:eastAsia="en-US"/>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932B7F">
        <w:rPr>
          <w:b/>
          <w:i/>
          <w:lang w:eastAsia="en-US"/>
        </w:rPr>
        <w:t>отсутствуют.</w:t>
      </w:r>
    </w:p>
    <w:p w14:paraId="52E9B53F" w14:textId="77777777" w:rsidR="00853D47" w:rsidRPr="00932B7F" w:rsidRDefault="00853D47" w:rsidP="00531121">
      <w:pPr>
        <w:spacing w:after="120" w:line="22" w:lineRule="atLeast"/>
        <w:ind w:left="567"/>
        <w:jc w:val="both"/>
        <w:rPr>
          <w:lang w:eastAsia="en-US"/>
        </w:rPr>
      </w:pPr>
      <w:r w:rsidRPr="00932B7F">
        <w:rPr>
          <w:lang w:eastAsia="en-US"/>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932B7F">
        <w:rPr>
          <w:b/>
          <w:i/>
          <w:lang w:eastAsia="en-US"/>
        </w:rPr>
        <w:t>отсутствуют.</w:t>
      </w:r>
    </w:p>
    <w:p w14:paraId="6ADB0F78" w14:textId="77777777" w:rsidR="00853D47" w:rsidRPr="00932B7F" w:rsidRDefault="00853D47" w:rsidP="00531121">
      <w:pPr>
        <w:spacing w:after="120" w:line="22" w:lineRule="atLeast"/>
        <w:ind w:left="567"/>
        <w:jc w:val="both"/>
        <w:rPr>
          <w:lang w:eastAsia="en-US"/>
        </w:rPr>
      </w:pPr>
      <w:r w:rsidRPr="00932B7F">
        <w:rPr>
          <w:lang w:eastAsia="en-US"/>
        </w:rPr>
        <w:t>Указываются меры, предпринятые эмитентом и аудитором (аудиторской организацией) для снижения влияния указанных факторов:</w:t>
      </w:r>
      <w:r w:rsidRPr="00932B7F">
        <w:rPr>
          <w:b/>
          <w:i/>
        </w:rPr>
        <w:t xml:space="preserve"> неприменимо.</w:t>
      </w:r>
    </w:p>
    <w:p w14:paraId="70ED69C6" w14:textId="4F92ECA4" w:rsidR="00853D47" w:rsidRPr="00F7295A" w:rsidRDefault="00853D47" w:rsidP="00F7295A">
      <w:pPr>
        <w:pStyle w:val="SubHeading"/>
        <w:ind w:firstLine="567"/>
        <w:jc w:val="both"/>
        <w:rPr>
          <w:sz w:val="22"/>
          <w:szCs w:val="22"/>
        </w:rPr>
      </w:pPr>
      <w:r w:rsidRPr="00F7295A">
        <w:rPr>
          <w:sz w:val="22"/>
          <w:szCs w:val="22"/>
        </w:rPr>
        <w:t>Порядок выбора аудитора эмитента</w:t>
      </w:r>
      <w:r w:rsidR="00F7295A">
        <w:rPr>
          <w:sz w:val="22"/>
          <w:szCs w:val="22"/>
        </w:rPr>
        <w:t>:</w:t>
      </w:r>
    </w:p>
    <w:p w14:paraId="14D37073" w14:textId="0E6A7420" w:rsidR="00853D47" w:rsidRPr="00F7295A" w:rsidRDefault="00363B2C" w:rsidP="00531121">
      <w:pPr>
        <w:ind w:left="567"/>
        <w:jc w:val="both"/>
        <w:rPr>
          <w:b/>
          <w:i/>
          <w:lang w:eastAsia="en-US"/>
        </w:rPr>
      </w:pPr>
      <w:r w:rsidRPr="00F7295A">
        <w:rPr>
          <w:b/>
          <w:i/>
          <w:lang w:eastAsia="en-US"/>
        </w:rPr>
        <w:t>Выбор аудиторской организации проводился Эмитентом на основании мониторинга аудиторских услуг, предлагаемых различными аудиторскими фирмами. Основные условия отбора аудиторской организации – анализ деловой и профессиональной репутации аудиторов, а также размер оплаты предлагаемых услуг аудиторской организации.</w:t>
      </w:r>
    </w:p>
    <w:p w14:paraId="24F59C36" w14:textId="77777777" w:rsidR="0063075E" w:rsidRPr="00F7295A" w:rsidRDefault="0063075E" w:rsidP="00363B2C">
      <w:pPr>
        <w:jc w:val="both"/>
        <w:rPr>
          <w:b/>
          <w:i/>
        </w:rPr>
      </w:pPr>
    </w:p>
    <w:p w14:paraId="0E8DA7E0" w14:textId="77777777" w:rsidR="00853D47" w:rsidRPr="00F7295A" w:rsidRDefault="00853D47" w:rsidP="00F7295A">
      <w:pPr>
        <w:ind w:left="567"/>
        <w:jc w:val="both"/>
      </w:pPr>
      <w:r w:rsidRPr="00F7295A">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14:paraId="6B6DE369" w14:textId="528D3CD3" w:rsidR="00853D47" w:rsidRPr="00F7295A" w:rsidRDefault="00853D47" w:rsidP="00531121">
      <w:pPr>
        <w:ind w:left="567"/>
        <w:jc w:val="both"/>
      </w:pPr>
      <w:r w:rsidRPr="00F7295A">
        <w:rPr>
          <w:rStyle w:val="Subst"/>
        </w:rPr>
        <w:t>Выдвижение кандидатуры аудитора происходит в соответствии с Федеральным законом «Об обществах с ограниченной ответственностью» от 08.02.1998 № 14-ФЗ. Вопрос утверждения кандидатуры аудитора Общества относится к компетенции общего собрания участников Общества (п. 7.2 Устава Эмитента). Решение по данному вопросу принимается большинством голосов от общего числа голосов участников Общества (п. 7.3 Устава Эмитента).</w:t>
      </w:r>
    </w:p>
    <w:p w14:paraId="71BA2555" w14:textId="77777777" w:rsidR="00853D47" w:rsidRPr="00932B7F" w:rsidRDefault="00853D47" w:rsidP="00853D47">
      <w:pPr>
        <w:ind w:firstLine="567"/>
        <w:jc w:val="both"/>
        <w:rPr>
          <w:lang w:eastAsia="en-US"/>
        </w:rPr>
      </w:pPr>
    </w:p>
    <w:p w14:paraId="0D372731" w14:textId="77777777" w:rsidR="00853D47" w:rsidRPr="0011687F" w:rsidRDefault="00853D47" w:rsidP="00E40AA0">
      <w:pPr>
        <w:ind w:left="567"/>
        <w:jc w:val="both"/>
        <w:rPr>
          <w:lang w:eastAsia="en-US"/>
        </w:rPr>
      </w:pPr>
      <w:r w:rsidRPr="0011687F">
        <w:rPr>
          <w:lang w:eastAsia="en-US"/>
        </w:rPr>
        <w:t>Информация о работах, проводимых аудитором (аудиторской организацией) в рамках специальных аудиторских заданий:</w:t>
      </w:r>
    </w:p>
    <w:p w14:paraId="1C8D0E4B" w14:textId="7D767A03" w:rsidR="00853D47" w:rsidRPr="00F7295A" w:rsidRDefault="00853D47" w:rsidP="00853D47">
      <w:pPr>
        <w:ind w:firstLine="567"/>
        <w:jc w:val="both"/>
        <w:rPr>
          <w:rStyle w:val="Subst"/>
        </w:rPr>
      </w:pPr>
      <w:r w:rsidRPr="00F7295A">
        <w:rPr>
          <w:rStyle w:val="Subst"/>
        </w:rPr>
        <w:t>Работ аудитора, в рамках специальных аудиторских заданий, не проводилось</w:t>
      </w:r>
      <w:r w:rsidR="0063075E" w:rsidRPr="00F7295A">
        <w:rPr>
          <w:rStyle w:val="Subst"/>
        </w:rPr>
        <w:t>.</w:t>
      </w:r>
    </w:p>
    <w:p w14:paraId="6A6A213F" w14:textId="77777777" w:rsidR="00853D47" w:rsidRPr="00932B7F" w:rsidRDefault="00853D47" w:rsidP="00853D47">
      <w:pPr>
        <w:ind w:firstLine="567"/>
        <w:jc w:val="both"/>
      </w:pPr>
    </w:p>
    <w:p w14:paraId="048A4B1A" w14:textId="2B31906F" w:rsidR="00853D47" w:rsidRDefault="00853D47" w:rsidP="00853D47">
      <w:pPr>
        <w:ind w:firstLine="567"/>
        <w:jc w:val="both"/>
        <w:rPr>
          <w:rStyle w:val="Subst"/>
          <w:b w:val="0"/>
          <w:i w:val="0"/>
        </w:rPr>
      </w:pPr>
      <w:r w:rsidRPr="00932B7F">
        <w:rPr>
          <w:rStyle w:val="Subst"/>
          <w:b w:val="0"/>
          <w:i w:val="0"/>
        </w:rPr>
        <w:t xml:space="preserve">Порядок определения размера вознаграждения аудитора: </w:t>
      </w:r>
    </w:p>
    <w:p w14:paraId="486FD66C" w14:textId="77777777" w:rsidR="00853D47" w:rsidRPr="00F7295A" w:rsidRDefault="00853D47" w:rsidP="00E40AA0">
      <w:pPr>
        <w:ind w:left="567"/>
        <w:jc w:val="both"/>
      </w:pPr>
      <w:r w:rsidRPr="00F7295A">
        <w:rPr>
          <w:rStyle w:val="Subst"/>
        </w:rPr>
        <w:t>Размер вознаграждения аудитора определяется в соответствии с заключенным между Эмитентом и аудитором договором. Определение размера оплаты услуг аудитора находится в компетенции Общего собрания участников Эмитента (п. 7.2 Устава Эмитента).</w:t>
      </w:r>
    </w:p>
    <w:p w14:paraId="0581CCFF" w14:textId="77777777" w:rsidR="00853D47" w:rsidRPr="00932B7F" w:rsidRDefault="00853D47" w:rsidP="00853D47">
      <w:pPr>
        <w:spacing w:after="120" w:line="22" w:lineRule="atLeast"/>
        <w:ind w:firstLine="567"/>
        <w:jc w:val="both"/>
        <w:rPr>
          <w:lang w:eastAsia="en-US"/>
        </w:rPr>
      </w:pPr>
    </w:p>
    <w:p w14:paraId="5FA20B5B" w14:textId="77777777" w:rsidR="00853D47" w:rsidRPr="00932B7F" w:rsidRDefault="00853D47" w:rsidP="00E40AA0">
      <w:pPr>
        <w:ind w:left="567"/>
        <w:jc w:val="both"/>
      </w:pPr>
      <w:r w:rsidRPr="00932B7F">
        <w:t>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14:paraId="629B8C48" w14:textId="04618638" w:rsidR="00A978A1" w:rsidRDefault="00A978A1" w:rsidP="00A978A1">
      <w:pPr>
        <w:ind w:left="200"/>
        <w:jc w:val="both"/>
        <w:rPr>
          <w:rStyle w:val="Subst"/>
          <w:b w:val="0"/>
          <w:i w:val="0"/>
        </w:rPr>
      </w:pPr>
    </w:p>
    <w:p w14:paraId="1D4E982B" w14:textId="47F006E2" w:rsidR="00A978A1" w:rsidRPr="00F7295A" w:rsidRDefault="00A978A1" w:rsidP="00E40AA0">
      <w:pPr>
        <w:ind w:left="567"/>
        <w:jc w:val="both"/>
        <w:rPr>
          <w:rStyle w:val="Subst"/>
        </w:rPr>
      </w:pPr>
      <w:r w:rsidRPr="00F7295A">
        <w:rPr>
          <w:rStyle w:val="Subst"/>
        </w:rPr>
        <w:t>Фактический размер вознаграждения аудиторской организации по итогам последнего завершенного отчетного 2023 года, за который аудиторской организацией проводилась независимая проверка годовой бухгалтерской (финансовой) отчетности, составил 80 000,00 (Восемьдесят тысяч) рублей 00 коп. без  учета применимых на территории РФ налогов и сборов.</w:t>
      </w:r>
    </w:p>
    <w:p w14:paraId="6B306B08" w14:textId="14522F69" w:rsidR="00A978A1" w:rsidRPr="00F7295A" w:rsidRDefault="00A978A1" w:rsidP="00E40AA0">
      <w:pPr>
        <w:ind w:left="567"/>
        <w:jc w:val="both"/>
        <w:rPr>
          <w:rStyle w:val="Subst"/>
        </w:rPr>
      </w:pPr>
      <w:r w:rsidRPr="00F7295A">
        <w:rPr>
          <w:rStyle w:val="Subst"/>
        </w:rPr>
        <w:t>Фактический размер вознаграждения, выплаченного Эмитентом аудиторской организации по итогам последнего завершенного отчетного 2023 года, за который аудиторской организацией проводилась независимая проверка финансовой отчетности  Эмитента с применением Международных стандартов финансовой отчетности (МФСО), составил 240 000,00 (Двести сорок тысяч) рублей 00 коп. без учета применимых на территории РФ налогов и сборов.</w:t>
      </w:r>
    </w:p>
    <w:p w14:paraId="533DD2EC" w14:textId="77777777" w:rsidR="00525487" w:rsidRPr="00932B7F" w:rsidRDefault="00525487" w:rsidP="00DA6002">
      <w:pPr>
        <w:jc w:val="both"/>
        <w:rPr>
          <w:lang w:eastAsia="en-US"/>
        </w:rPr>
      </w:pPr>
    </w:p>
    <w:p w14:paraId="6D503291" w14:textId="77777777" w:rsidR="00F7295A" w:rsidRDefault="00853D47" w:rsidP="00E40AA0">
      <w:pPr>
        <w:spacing w:after="120" w:line="22" w:lineRule="atLeast"/>
        <w:ind w:left="567"/>
        <w:jc w:val="both"/>
        <w:rPr>
          <w:lang w:eastAsia="en-US"/>
        </w:rPr>
      </w:pPr>
      <w:r w:rsidRPr="00932B7F">
        <w:rPr>
          <w:lang w:eastAsia="en-US"/>
        </w:rPr>
        <w:t>Информация о наличии отсроченных платежей за оказанные аудитором (аудиторской организацией) услуги:</w:t>
      </w:r>
      <w:r w:rsidR="00E40AA0">
        <w:rPr>
          <w:lang w:eastAsia="en-US"/>
        </w:rPr>
        <w:t xml:space="preserve"> </w:t>
      </w:r>
    </w:p>
    <w:p w14:paraId="3385354E" w14:textId="0F633E0D" w:rsidR="00853D47" w:rsidRPr="00932B7F" w:rsidRDefault="00853D47" w:rsidP="00E40AA0">
      <w:pPr>
        <w:spacing w:after="120" w:line="22" w:lineRule="atLeast"/>
        <w:ind w:left="567"/>
        <w:jc w:val="both"/>
        <w:rPr>
          <w:b/>
          <w:bCs/>
          <w:i/>
          <w:iCs/>
        </w:rPr>
      </w:pPr>
      <w:r w:rsidRPr="00932B7F">
        <w:rPr>
          <w:b/>
          <w:i/>
        </w:rPr>
        <w:t xml:space="preserve">Отсроченные платежи </w:t>
      </w:r>
      <w:r w:rsidRPr="00932B7F">
        <w:rPr>
          <w:b/>
          <w:bCs/>
          <w:i/>
          <w:iCs/>
        </w:rPr>
        <w:t>отсутствуют.</w:t>
      </w:r>
    </w:p>
    <w:p w14:paraId="70D710B2" w14:textId="77777777" w:rsidR="00F7295A" w:rsidRDefault="00853D47" w:rsidP="00E40AA0">
      <w:pPr>
        <w:spacing w:after="120" w:line="22" w:lineRule="atLeast"/>
        <w:ind w:left="567"/>
        <w:jc w:val="both"/>
        <w:rPr>
          <w:lang w:eastAsia="en-US"/>
        </w:rPr>
      </w:pPr>
      <w:r w:rsidRPr="00932B7F">
        <w:rPr>
          <w:lang w:eastAsia="en-US"/>
        </w:rPr>
        <w:lastRenderedPageBreak/>
        <w:t>Информация о наличии просроченных платежей за оказанные аудитором (аудиторской организацией) услуги:</w:t>
      </w:r>
      <w:r w:rsidR="00E40AA0">
        <w:rPr>
          <w:lang w:eastAsia="en-US"/>
        </w:rPr>
        <w:t xml:space="preserve"> </w:t>
      </w:r>
    </w:p>
    <w:p w14:paraId="6BE6E966" w14:textId="38B0C735" w:rsidR="00853D47" w:rsidRPr="00932B7F" w:rsidRDefault="00853D47" w:rsidP="00E40AA0">
      <w:pPr>
        <w:spacing w:after="120" w:line="22" w:lineRule="atLeast"/>
        <w:ind w:left="567"/>
        <w:jc w:val="both"/>
        <w:rPr>
          <w:lang w:eastAsia="en-US"/>
        </w:rPr>
      </w:pPr>
      <w:r w:rsidRPr="00932B7F">
        <w:rPr>
          <w:b/>
          <w:i/>
        </w:rPr>
        <w:t xml:space="preserve">Просроченные платежи </w:t>
      </w:r>
      <w:r w:rsidRPr="00932B7F">
        <w:rPr>
          <w:b/>
          <w:bCs/>
          <w:i/>
          <w:iCs/>
        </w:rPr>
        <w:t>отсутствуют.</w:t>
      </w:r>
    </w:p>
    <w:p w14:paraId="2FF57231" w14:textId="77777777" w:rsidR="0067080E" w:rsidRPr="00932B7F" w:rsidRDefault="0067080E">
      <w:pPr>
        <w:spacing w:line="264" w:lineRule="exact"/>
      </w:pPr>
    </w:p>
    <w:p w14:paraId="762A8A07" w14:textId="77777777" w:rsidR="0067080E" w:rsidRPr="00932B7F" w:rsidRDefault="00725806" w:rsidP="00F7295A">
      <w:pPr>
        <w:jc w:val="center"/>
      </w:pPr>
      <w:r w:rsidRPr="00932B7F">
        <w:rPr>
          <w:rFonts w:eastAsia="Tahoma"/>
          <w:b/>
          <w:bCs/>
        </w:rPr>
        <w:t>2. ПОЛОЖЕНИЕ ОБЩЕСТВА В ОТРАСЛИ</w:t>
      </w:r>
    </w:p>
    <w:p w14:paraId="58FE32A4" w14:textId="77777777" w:rsidR="0067080E" w:rsidRPr="00932B7F" w:rsidRDefault="0067080E">
      <w:pPr>
        <w:spacing w:line="2" w:lineRule="exact"/>
      </w:pPr>
    </w:p>
    <w:p w14:paraId="2AE9A069" w14:textId="77777777" w:rsidR="00A04460" w:rsidRPr="00932B7F" w:rsidRDefault="00A04460" w:rsidP="00A04460">
      <w:pPr>
        <w:jc w:val="both"/>
        <w:rPr>
          <w:b/>
          <w:i/>
        </w:rPr>
      </w:pPr>
    </w:p>
    <w:p w14:paraId="25A60157" w14:textId="11DC9664" w:rsidR="00525487" w:rsidRPr="00F7295A" w:rsidRDefault="00525487" w:rsidP="00F04D3E">
      <w:pPr>
        <w:jc w:val="both"/>
        <w:rPr>
          <w:b/>
          <w:i/>
        </w:rPr>
      </w:pPr>
      <w:r w:rsidRPr="00F7295A">
        <w:rPr>
          <w:b/>
          <w:i/>
        </w:rPr>
        <w:t>Основной деятельностью</w:t>
      </w:r>
      <w:r w:rsidR="00EC0BE3" w:rsidRPr="00F7295A">
        <w:rPr>
          <w:b/>
          <w:i/>
        </w:rPr>
        <w:t xml:space="preserve"> Общества</w:t>
      </w:r>
      <w:r w:rsidRPr="00F7295A">
        <w:rPr>
          <w:b/>
          <w:i/>
        </w:rPr>
        <w:t xml:space="preserve"> является предоставление финансовых услуг, включая финансовое посредничество. </w:t>
      </w:r>
      <w:r w:rsidR="00EC0BE3" w:rsidRPr="00F7295A">
        <w:rPr>
          <w:b/>
          <w:i/>
        </w:rPr>
        <w:t>С</w:t>
      </w:r>
      <w:r w:rsidRPr="00F7295A">
        <w:rPr>
          <w:b/>
          <w:i/>
        </w:rPr>
        <w:t xml:space="preserve">вою деятельность </w:t>
      </w:r>
      <w:r w:rsidR="00EC0BE3" w:rsidRPr="00F7295A">
        <w:rPr>
          <w:b/>
          <w:i/>
        </w:rPr>
        <w:t xml:space="preserve">Общество осуществляет </w:t>
      </w:r>
      <w:r w:rsidRPr="00F7295A">
        <w:rPr>
          <w:b/>
          <w:i/>
        </w:rPr>
        <w:t>на территории Российской Федерации</w:t>
      </w:r>
      <w:r w:rsidR="00EC0BE3" w:rsidRPr="00F7295A">
        <w:rPr>
          <w:b/>
          <w:i/>
        </w:rPr>
        <w:t>.</w:t>
      </w:r>
    </w:p>
    <w:p w14:paraId="6C8E3401" w14:textId="77777777" w:rsidR="00525487" w:rsidRPr="00F7295A" w:rsidRDefault="00525487" w:rsidP="00F04D3E">
      <w:pPr>
        <w:jc w:val="both"/>
        <w:rPr>
          <w:b/>
          <w:i/>
        </w:rPr>
      </w:pPr>
    </w:p>
    <w:p w14:paraId="69255D56" w14:textId="6733C3B9" w:rsidR="00114315" w:rsidRPr="00F7295A" w:rsidRDefault="00525487" w:rsidP="00F04D3E">
      <w:pPr>
        <w:jc w:val="both"/>
        <w:rPr>
          <w:b/>
          <w:i/>
        </w:rPr>
      </w:pPr>
      <w:r w:rsidRPr="00F7295A">
        <w:rPr>
          <w:b/>
          <w:i/>
        </w:rPr>
        <w:t xml:space="preserve">С момента размещения облигационного выпуска в 2018 году ключевым приоритетом </w:t>
      </w:r>
      <w:r w:rsidR="00EC0BE3" w:rsidRPr="00F7295A">
        <w:rPr>
          <w:b/>
          <w:i/>
        </w:rPr>
        <w:t>Общества</w:t>
      </w:r>
      <w:r w:rsidRPr="00F7295A">
        <w:rPr>
          <w:b/>
          <w:i/>
        </w:rPr>
        <w:t xml:space="preserve"> стало обеспечение своевременного и полного исполнения обязательств по обслуживанию облигационного займа. Эмитент также строго соблюдает законодательные нормы и требования, регулирующие деятельность в сфере ценных бумаг, в соответствии с действующим законодательством Российской Федерации.</w:t>
      </w:r>
    </w:p>
    <w:p w14:paraId="660E5233" w14:textId="77777777" w:rsidR="00EC0BE3" w:rsidRPr="00F7295A" w:rsidRDefault="00EC0BE3" w:rsidP="00E40AA0">
      <w:pPr>
        <w:ind w:left="567"/>
        <w:jc w:val="both"/>
        <w:rPr>
          <w:b/>
          <w:i/>
        </w:rPr>
      </w:pPr>
    </w:p>
    <w:p w14:paraId="4F9B8117" w14:textId="288E9F2C" w:rsidR="00114315" w:rsidRPr="00F7295A" w:rsidRDefault="00EC0BE3" w:rsidP="00F04D3E">
      <w:pPr>
        <w:jc w:val="both"/>
        <w:rPr>
          <w:b/>
          <w:i/>
        </w:rPr>
      </w:pPr>
      <w:r w:rsidRPr="00F7295A">
        <w:rPr>
          <w:b/>
          <w:i/>
        </w:rPr>
        <w:t xml:space="preserve">В силу специфики своей деятельности </w:t>
      </w:r>
      <w:r w:rsidR="00CC2A6F" w:rsidRPr="00F7295A">
        <w:rPr>
          <w:b/>
          <w:i/>
        </w:rPr>
        <w:t>Общество</w:t>
      </w:r>
      <w:r w:rsidRPr="00F7295A">
        <w:rPr>
          <w:b/>
          <w:i/>
        </w:rPr>
        <w:t xml:space="preserve"> не имеет конкурентов и не проводит сравнительный анализ своей деятельности относительно других компаний.</w:t>
      </w:r>
    </w:p>
    <w:p w14:paraId="6B39EE55" w14:textId="77777777" w:rsidR="00A04460" w:rsidRPr="00932B7F" w:rsidRDefault="00A04460" w:rsidP="00F04D3E">
      <w:pPr>
        <w:ind w:firstLine="567"/>
        <w:jc w:val="both"/>
      </w:pPr>
    </w:p>
    <w:p w14:paraId="287913D7" w14:textId="77777777" w:rsidR="0067080E" w:rsidRPr="00932B7F" w:rsidRDefault="0067080E" w:rsidP="00F04D3E">
      <w:pPr>
        <w:spacing w:line="1" w:lineRule="exact"/>
        <w:ind w:firstLine="567"/>
      </w:pPr>
    </w:p>
    <w:p w14:paraId="47FAD461" w14:textId="05A871B5" w:rsidR="008F01E5" w:rsidRPr="00F7295A" w:rsidRDefault="00725806" w:rsidP="00F04D3E">
      <w:pPr>
        <w:jc w:val="both"/>
      </w:pPr>
      <w:r w:rsidRPr="00F7295A">
        <w:t>Планы будущей деятельности Общества</w:t>
      </w:r>
      <w:r w:rsidR="00F7295A" w:rsidRPr="00F7295A">
        <w:t>:</w:t>
      </w:r>
    </w:p>
    <w:p w14:paraId="1FC98E3E" w14:textId="77777777" w:rsidR="002E560D" w:rsidRPr="00932B7F" w:rsidRDefault="002E560D" w:rsidP="00F04D3E">
      <w:pPr>
        <w:ind w:firstLine="567"/>
        <w:jc w:val="both"/>
      </w:pPr>
    </w:p>
    <w:p w14:paraId="6400D23C" w14:textId="572DF0F8" w:rsidR="0067080E" w:rsidRPr="00F7295A" w:rsidRDefault="00706971" w:rsidP="00F04D3E">
      <w:pPr>
        <w:jc w:val="both"/>
        <w:rPr>
          <w:b/>
          <w:bCs/>
          <w:i/>
          <w:iCs/>
        </w:rPr>
      </w:pPr>
      <w:r w:rsidRPr="00F7295A">
        <w:rPr>
          <w:b/>
          <w:bCs/>
          <w:i/>
          <w:iCs/>
        </w:rPr>
        <w:t>Общество не планирует проведение модернизации или реконструкции основных средств, а также изменения основного вида деятельности. Основными источниками будущих доходов и расходов останутся поступления от предоставленных займов и затраты на обслуживание облигационного займа.</w:t>
      </w:r>
    </w:p>
    <w:p w14:paraId="1882404C" w14:textId="77777777" w:rsidR="00E40AA0" w:rsidRPr="00932B7F" w:rsidRDefault="00E40AA0" w:rsidP="00E40AA0">
      <w:pPr>
        <w:ind w:left="567"/>
        <w:jc w:val="both"/>
      </w:pPr>
    </w:p>
    <w:p w14:paraId="0E8E4574" w14:textId="57E97428" w:rsidR="0067080E" w:rsidRPr="00E40AA0" w:rsidRDefault="00725806" w:rsidP="004F6B50">
      <w:pPr>
        <w:jc w:val="center"/>
        <w:rPr>
          <w:b/>
        </w:rPr>
      </w:pPr>
      <w:r w:rsidRPr="00E40AA0">
        <w:rPr>
          <w:b/>
        </w:rPr>
        <w:t>2.1. Анализ тенденций развития в сфере основной деятельности Общества</w:t>
      </w:r>
    </w:p>
    <w:p w14:paraId="030B3E13" w14:textId="77777777" w:rsidR="0067080E" w:rsidRPr="00932B7F" w:rsidRDefault="0067080E">
      <w:pPr>
        <w:spacing w:line="4" w:lineRule="exact"/>
      </w:pPr>
    </w:p>
    <w:p w14:paraId="61590497" w14:textId="77777777" w:rsidR="008F01E5" w:rsidRPr="00932B7F" w:rsidRDefault="008F01E5" w:rsidP="008F01E5">
      <w:pPr>
        <w:ind w:left="567"/>
        <w:jc w:val="both"/>
        <w:rPr>
          <w:rStyle w:val="Subst"/>
          <w:b w:val="0"/>
          <w:bCs/>
          <w:i w:val="0"/>
          <w:iCs/>
        </w:rPr>
      </w:pPr>
    </w:p>
    <w:p w14:paraId="0A3ADE60" w14:textId="3F97E1F1" w:rsidR="00BB1D2E" w:rsidRPr="00932B7F" w:rsidRDefault="00BB1D2E" w:rsidP="00F04D3E">
      <w:r w:rsidRPr="007B3F8E">
        <w:t>Ниже приводится анализ рынка облигационного заимствования Российской Федерации в 202</w:t>
      </w:r>
      <w:r w:rsidR="005223E6" w:rsidRPr="007B3F8E">
        <w:t>3</w:t>
      </w:r>
      <w:r w:rsidRPr="007B3F8E">
        <w:t xml:space="preserve"> году:</w:t>
      </w:r>
    </w:p>
    <w:p w14:paraId="1C87364D" w14:textId="77777777" w:rsidR="00BB1D2E" w:rsidRPr="00932B7F" w:rsidRDefault="00BB1D2E" w:rsidP="00F04D3E">
      <w:pPr>
        <w:jc w:val="both"/>
        <w:rPr>
          <w:b/>
          <w:bCs/>
          <w:i/>
          <w:iCs/>
          <w:color w:val="000000"/>
        </w:rPr>
      </w:pPr>
    </w:p>
    <w:p w14:paraId="246F30C4" w14:textId="2B77A8BA" w:rsidR="004C7AC3" w:rsidRPr="004C7AC3" w:rsidRDefault="0084755A" w:rsidP="00F04D3E">
      <w:pPr>
        <w:jc w:val="both"/>
      </w:pPr>
      <w:r>
        <w:t xml:space="preserve">В </w:t>
      </w:r>
      <w:r w:rsidR="004C7AC3" w:rsidRPr="004C7AC3">
        <w:t>2023 год</w:t>
      </w:r>
      <w:r>
        <w:t xml:space="preserve">у </w:t>
      </w:r>
      <w:r w:rsidR="004C7AC3" w:rsidRPr="004C7AC3">
        <w:t xml:space="preserve">объем рынка облигаций показал внушительный рост и </w:t>
      </w:r>
      <w:r w:rsidR="009E4FE6" w:rsidRPr="00A3588D">
        <w:t>уже</w:t>
      </w:r>
      <w:r w:rsidR="00E40AA0" w:rsidRPr="00E40AA0">
        <w:t xml:space="preserve"> </w:t>
      </w:r>
      <w:r w:rsidR="004C7AC3" w:rsidRPr="004C7AC3">
        <w:t>на 30.09.2023 достиг рекордных 23,4 трлн рублей. Оживление проявилось во всех сегментах рынка. Объем размещений к октябрю 2023 года достиг 2,8 трлн рублей без учета секьюритизации, структурных и замещающих бумаг, что в 2,7 раза превышает аналогичный период 2022-го. При отсутствии сильных шоков рынок может увидеть объем размещений в 2024 году до 3,5 трлн рублей.</w:t>
      </w:r>
    </w:p>
    <w:p w14:paraId="58AEA645" w14:textId="77777777" w:rsidR="004C7AC3" w:rsidRPr="004C7AC3" w:rsidRDefault="004C7AC3" w:rsidP="00F04D3E">
      <w:pPr>
        <w:jc w:val="both"/>
      </w:pPr>
    </w:p>
    <w:p w14:paraId="3F2D8CF4" w14:textId="77777777" w:rsidR="004C7AC3" w:rsidRPr="004C7AC3" w:rsidRDefault="004C7AC3" w:rsidP="00F04D3E">
      <w:pPr>
        <w:jc w:val="both"/>
      </w:pPr>
      <w:r w:rsidRPr="004C7AC3">
        <w:t xml:space="preserve">Высокая ставка не парализовала рынок. Тенденция и далее была бы оптимистична, но с июля 2023 года ЦБ несколько раз повысил ключевую ставку из-за существенных </w:t>
      </w:r>
      <w:proofErr w:type="spellStart"/>
      <w:r w:rsidRPr="004C7AC3">
        <w:t>проинфляционных</w:t>
      </w:r>
      <w:proofErr w:type="spellEnd"/>
      <w:r w:rsidRPr="004C7AC3">
        <w:t xml:space="preserve"> рисков (с 7,5% в июле до 13% в октябре), и это не могло не отразиться на настроениях эмитентов. В августе – сентябре 2023 года рынок увидел 82 размещения объемом 915 млрд рублей во всех эшелонах. Это привело к тому, что один из основных плюсов выпуска облигаций для эмитента – нивелирование процентного риска – стал ставиться под вопрос с растущей идеей среди корпоративных заемщиков начать размещения бумаг с плавающей процентной ставкой.</w:t>
      </w:r>
    </w:p>
    <w:p w14:paraId="518553BE" w14:textId="77777777" w:rsidR="004C7AC3" w:rsidRPr="004C7AC3" w:rsidRDefault="004C7AC3" w:rsidP="00F04D3E">
      <w:pPr>
        <w:jc w:val="both"/>
      </w:pPr>
    </w:p>
    <w:p w14:paraId="02EA7778" w14:textId="54B557AE" w:rsidR="004C7AC3" w:rsidRPr="004C7AC3" w:rsidRDefault="004C7AC3" w:rsidP="00F04D3E">
      <w:pPr>
        <w:jc w:val="both"/>
      </w:pPr>
      <w:r w:rsidRPr="004C7AC3">
        <w:t xml:space="preserve">Узкий спред сохранил рынок для </w:t>
      </w:r>
      <w:r w:rsidR="0084755A">
        <w:t>м</w:t>
      </w:r>
      <w:r w:rsidR="0084755A" w:rsidRPr="0084755A">
        <w:t>алы</w:t>
      </w:r>
      <w:r w:rsidR="0084755A">
        <w:t>х</w:t>
      </w:r>
      <w:r w:rsidR="0084755A" w:rsidRPr="0084755A">
        <w:t xml:space="preserve"> и средни</w:t>
      </w:r>
      <w:r w:rsidR="0084755A">
        <w:t>х</w:t>
      </w:r>
      <w:r w:rsidR="0084755A" w:rsidRPr="0084755A">
        <w:t xml:space="preserve"> предприяти</w:t>
      </w:r>
      <w:r w:rsidR="0084755A">
        <w:t>й</w:t>
      </w:r>
      <w:r w:rsidR="0084755A" w:rsidRPr="004C7AC3">
        <w:t xml:space="preserve"> </w:t>
      </w:r>
      <w:r w:rsidR="0084755A">
        <w:t>(</w:t>
      </w:r>
      <w:r w:rsidRPr="004C7AC3">
        <w:t>МСП</w:t>
      </w:r>
      <w:r w:rsidR="0084755A">
        <w:t>)</w:t>
      </w:r>
      <w:r w:rsidRPr="004C7AC3">
        <w:t xml:space="preserve">. Существенно сузившиеся спреды </w:t>
      </w:r>
      <w:r w:rsidR="003923FF" w:rsidRPr="003923FF">
        <w:t xml:space="preserve">Высокодоходные облигации </w:t>
      </w:r>
      <w:r w:rsidR="003923FF">
        <w:t xml:space="preserve"> (</w:t>
      </w:r>
      <w:r w:rsidRPr="004C7AC3">
        <w:t>ВДО</w:t>
      </w:r>
      <w:r w:rsidR="003923FF">
        <w:t xml:space="preserve">) </w:t>
      </w:r>
      <w:r w:rsidRPr="004C7AC3">
        <w:t>выпусков, согласно профильным бенчмаркам опустившиеся ниже 300 б. п., вновь подняли диалог о том, что сегмент сильно перегрет, и доходности по таким выпускам не покрывают их рисков, и так ощутимо повысившихся из-за роста ключевой ставки. По мере развития ВДО-сегмента рынок проходит уже как минимум третий виток спирали потребности рисковых заемщиков в рефинансировании. Рефинансирование как экзистенциальная проблема этого сегмента рынка, похоже, становится прошлым. С ростом вовлеченности розничных инвесторов у заемщиков, которые смогут предложить адекватные рынку доходности, есть все возможности успешно привлечь новые деньги даже в сложное время. Такая ситуация нивелирует часть рисков дефолта.</w:t>
      </w:r>
    </w:p>
    <w:p w14:paraId="77F5E918" w14:textId="77777777" w:rsidR="004C7AC3" w:rsidRPr="004C7AC3" w:rsidRDefault="004C7AC3" w:rsidP="00F04D3E">
      <w:pPr>
        <w:jc w:val="both"/>
      </w:pPr>
    </w:p>
    <w:p w14:paraId="2FFC27E5" w14:textId="65D383F9" w:rsidR="004C7AC3" w:rsidRPr="004C7AC3" w:rsidRDefault="004C7AC3" w:rsidP="00F04D3E">
      <w:pPr>
        <w:jc w:val="both"/>
      </w:pPr>
      <w:r w:rsidRPr="004C7AC3">
        <w:t>Замещающие облигации добавят объема. Президентский указ об обязательном размещении замещающих облигаций до 1 января 2024 года обеспечи</w:t>
      </w:r>
      <w:r w:rsidR="0084755A">
        <w:t>л</w:t>
      </w:r>
      <w:r w:rsidRPr="004C7AC3">
        <w:t xml:space="preserve"> существенный стимул для роста рынка. При реализации позитивного сценария объем рынка может вплотную приблизиться к отметке 30 млрд долларов к концу 2023 года. Хотя выпуск замещающих облигаций и не принесет на рынок новых денег, он позволит приблизиться к нормальному функционированию рынка валютного долга с получением регулярных платежей и осуществлением купли-продажи бумаг без инфраструктурных ограничений.</w:t>
      </w:r>
    </w:p>
    <w:p w14:paraId="7793556E" w14:textId="77777777" w:rsidR="004C7AC3" w:rsidRPr="004C7AC3" w:rsidRDefault="004C7AC3" w:rsidP="00F04D3E">
      <w:pPr>
        <w:jc w:val="both"/>
      </w:pPr>
    </w:p>
    <w:p w14:paraId="6A41439C" w14:textId="7E7AD91F" w:rsidR="004C7AC3" w:rsidRPr="004C7AC3" w:rsidRDefault="004C7AC3" w:rsidP="00F04D3E">
      <w:pPr>
        <w:jc w:val="both"/>
      </w:pPr>
      <w:r w:rsidRPr="004C7AC3">
        <w:t>Розничные инвесторы продолжили выходить на биржу. Хотя и классический способ сбережения, банковские депозиты, показал существенный прирост средств, профицит ликвидности в банковской системе не позволял банкам давать наивысшие из возможных ставок по вкладам. Как элемент благосостояния домохозяйств депозиты увеличились с января 2022 года на 29%, до 49,5 трлн рублей, но весомая часть роста пришлась на текущие счета и вклады за рубежом. Розничный спрос, в предыдущие годы лидировавший в размещениях выпусков ВДО, в поисках баланса между риском и доходностями распространил свое внимание и на рейтинговые классы BBB-A. Но, несмотря на рост аппетитов и появление у организаторов опыта работы с таким классом инвесторов, вложения розницы в корпоративные долговые бумаги увеличились только на 1 трлн рублей, до 3,1, тогда как вложения в акции выросли на 3 трлн рублей, до 11,6. В таких условиях у нефинансовых компаний, особенно быстро растущих, образуется существенный потенциал привлечения средств в акционерный капитал путем проведения IPO. Классический маршрут публичности, в рамках которого компании сначала предпочитали выйти на облигационный дебют и только потом примеряться к IPO, потенциально может быть упрощен.</w:t>
      </w:r>
    </w:p>
    <w:p w14:paraId="64CBB22D" w14:textId="77777777" w:rsidR="004C7AC3" w:rsidRPr="004C7AC3" w:rsidRDefault="004C7AC3" w:rsidP="00F04D3E">
      <w:pPr>
        <w:jc w:val="both"/>
      </w:pPr>
    </w:p>
    <w:p w14:paraId="757F67DF" w14:textId="417C484B" w:rsidR="004C7AC3" w:rsidRPr="004C7AC3" w:rsidRDefault="004C7AC3" w:rsidP="00F04D3E">
      <w:pPr>
        <w:jc w:val="both"/>
      </w:pPr>
      <w:r w:rsidRPr="004C7AC3">
        <w:t xml:space="preserve">Достаточно позитивная ситуация на облигационном рынке является не только следствием сугубо конъюнктуры рынка, но и стабилизации и улучшения ключевых финансовых показателей у эмитентов самых разных классов. Повышение кредитного качества заемщиков находит отражение в достаточном большом количестве позитивных рейтинговых действий у крупнейших национальных рейтинговых агентств. Ключевым фактором является планомерная работа эмитентов по реализации умеренной финансовой политики, нацеленной на снижение </w:t>
      </w:r>
      <w:proofErr w:type="spellStart"/>
      <w:r w:rsidRPr="004C7AC3">
        <w:t>левереджа</w:t>
      </w:r>
      <w:proofErr w:type="spellEnd"/>
      <w:r w:rsidRPr="004C7AC3">
        <w:t xml:space="preserve"> и поддержание хороших показателей по рентабельности, ликвидности и запаса средств для обслуживания процентной нагрузки. К середине октября 2023 года 22% рейтинговых действий привели к повышению рейтинга или улучшению прогноза. Мы ожидаем, что тенденция будет сохраняться и в 2024 году на фоне позитивных финансовых результатов многих эмитентов в 2023-м. Фактическая наблюдаемая </w:t>
      </w:r>
      <w:proofErr w:type="spellStart"/>
      <w:r w:rsidRPr="004C7AC3">
        <w:t>дефолтность</w:t>
      </w:r>
      <w:proofErr w:type="spellEnd"/>
      <w:r w:rsidRPr="004C7AC3">
        <w:t xml:space="preserve"> лучше расчетной, и это свидетельствует о хорошем уровне адаптации рынка к новым условиям, даже в высокорискованных сегментах.</w:t>
      </w:r>
    </w:p>
    <w:p w14:paraId="33C0DC0F" w14:textId="77777777" w:rsidR="004C7AC3" w:rsidRPr="004C7AC3" w:rsidRDefault="004C7AC3" w:rsidP="00F04D3E">
      <w:pPr>
        <w:jc w:val="both"/>
      </w:pPr>
    </w:p>
    <w:p w14:paraId="4EF62EA4" w14:textId="55E37C66" w:rsidR="003E08FF" w:rsidRPr="004C7AC3" w:rsidRDefault="004C7AC3" w:rsidP="00F04D3E">
      <w:pPr>
        <w:jc w:val="both"/>
      </w:pPr>
      <w:r w:rsidRPr="004C7AC3">
        <w:t>Облигационный рынок показал высокую скорость адаптации к новым обстоятельствам его существования. Продемонстрировав по итогам 2022-го новый рекорд в 19,8 трлн рублей, уже в IV квартале 2023 года объем рынка достиг 23,4 трлн рублей и обновил рекорд и объема, и прироста. Нужно отметить, что часть этого прироста обусловлена переоценкой валютных обязательств на фоне рекордно ослабшего курса рубля в III–IV кварталах 2023 года.</w:t>
      </w:r>
    </w:p>
    <w:p w14:paraId="4605A0DA" w14:textId="60F89A65" w:rsidR="004C7AC3" w:rsidRDefault="004C7AC3" w:rsidP="00F04D3E">
      <w:pPr>
        <w:jc w:val="both"/>
        <w:rPr>
          <w:b/>
          <w:bCs/>
          <w:i/>
          <w:iCs/>
          <w:color w:val="000000"/>
        </w:rPr>
      </w:pPr>
    </w:p>
    <w:p w14:paraId="3C47EE4E" w14:textId="3270CC40" w:rsidR="004C7AC3" w:rsidRPr="004C7AC3" w:rsidRDefault="006F5A21" w:rsidP="00F04D3E">
      <w:pPr>
        <w:jc w:val="both"/>
      </w:pPr>
      <w:r w:rsidRPr="00A3588D">
        <w:t>В течение</w:t>
      </w:r>
      <w:r w:rsidR="004C7AC3" w:rsidRPr="00A3588D">
        <w:t xml:space="preserve"> 2023 года</w:t>
      </w:r>
      <w:r w:rsidR="004C7AC3" w:rsidRPr="004C7AC3">
        <w:t xml:space="preserve"> рост наблюдался во всех сегментах рынка. Основной движущей силой, конечно, выступает первый эшелон, перед которым теперь стояла задача не только заместить внешние источники фондирования, но и найти средства на развитие на внутреннем рынке. Но и следующие эшелоны также достаточно активно размещались, и к рынку обращались эмитенты-дебютанты из более низких рейтинговых классов. Если в 2022 году многие эмитенты, в т. ч. средних рейтинговых классов предпочли поставить на паузу инвестиционные программы и связанные с ними облигационные планы, то в 2023-м рынок увидел реализацию многих из этих намерений. Крупнейшие эмитенты вернули хотя бы часть капиталовложений, наиболее требовательных к длине привлекаемых денег, возвращается возможность более уверенного среднесрочного планирования, вновь обсуждаются потенциальные сделки M&amp;A, как всегда актуальна необходимость в диверсификации финансирования, и банкам нужна диверсификация портфелей. </w:t>
      </w:r>
      <w:r w:rsidR="004C7AC3" w:rsidRPr="000A1786">
        <w:t>По итогам 2023 года</w:t>
      </w:r>
      <w:r w:rsidR="004C7AC3" w:rsidRPr="004C7AC3">
        <w:t xml:space="preserve"> без учета эмиссии структурных, замещающих бумаг и секьюритизации были выпущены бумаги на 2,8 трлн рублей, из них на сделки эмитентов с наивысшим рейтингом пришлось порядка 56%, эмитентов категорий A и AA – 28%.</w:t>
      </w:r>
    </w:p>
    <w:p w14:paraId="4F007292" w14:textId="3A3DF5C8" w:rsidR="004C7AC3" w:rsidRDefault="004C7AC3" w:rsidP="00F04D3E">
      <w:pPr>
        <w:jc w:val="both"/>
        <w:rPr>
          <w:b/>
          <w:bCs/>
          <w:i/>
          <w:iCs/>
          <w:color w:val="000000"/>
        </w:rPr>
      </w:pPr>
    </w:p>
    <w:p w14:paraId="760AC1CF" w14:textId="0568C52F" w:rsidR="004C7AC3" w:rsidRPr="0084755A" w:rsidRDefault="004C7AC3" w:rsidP="00F04D3E">
      <w:pPr>
        <w:jc w:val="both"/>
      </w:pPr>
      <w:r w:rsidRPr="0084755A">
        <w:t>Ситуация со ставками ОФЗ характеризовалась уже меньшей драматичностью, чем за аналогичный период 2022 года, но тем не менее все еще была волатильной. Стабилизировавшийся к концу 2022-го уровень доходностей ОФЗ болезненно реагировал на повышение ключевой ставки, демонстрируя к началу IV квартала 2023 года инвертированную кривую доходности впервые с лета 2022-го. Волатильность ставок также обострила нежелание крупнейших банков покупать бумаги с фиксированной ставкой.</w:t>
      </w:r>
    </w:p>
    <w:p w14:paraId="1F614A28" w14:textId="7266AF34" w:rsidR="004C7AC3" w:rsidRPr="0084755A" w:rsidRDefault="004C7AC3" w:rsidP="00F04D3E">
      <w:pPr>
        <w:jc w:val="both"/>
      </w:pPr>
    </w:p>
    <w:p w14:paraId="685C5373" w14:textId="36080BE3" w:rsidR="004C7AC3" w:rsidRPr="0084755A" w:rsidRDefault="004C7AC3" w:rsidP="00F04D3E">
      <w:pPr>
        <w:jc w:val="both"/>
      </w:pPr>
      <w:r w:rsidRPr="0084755A">
        <w:t xml:space="preserve">В 2023 году доходности были практически неизменны вместе с ключевой ставкой. Согласно индексу агрегированных доходностей </w:t>
      </w:r>
      <w:proofErr w:type="spellStart"/>
      <w:r w:rsidRPr="0084755A">
        <w:t>Cbonds</w:t>
      </w:r>
      <w:proofErr w:type="spellEnd"/>
      <w:r w:rsidRPr="0084755A">
        <w:t xml:space="preserve"> CBI для компаний первого (рейтинг </w:t>
      </w:r>
      <w:proofErr w:type="spellStart"/>
      <w:r w:rsidRPr="0084755A">
        <w:t>ruAA</w:t>
      </w:r>
      <w:proofErr w:type="spellEnd"/>
      <w:r w:rsidRPr="0084755A">
        <w:t>- и выше) и второго эшелонов (</w:t>
      </w:r>
      <w:proofErr w:type="spellStart"/>
      <w:r w:rsidRPr="0084755A">
        <w:t>ruBBB</w:t>
      </w:r>
      <w:proofErr w:type="spellEnd"/>
      <w:r w:rsidRPr="0084755A">
        <w:t xml:space="preserve"> – </w:t>
      </w:r>
      <w:proofErr w:type="spellStart"/>
      <w:r w:rsidRPr="0084755A">
        <w:t>ruA</w:t>
      </w:r>
      <w:proofErr w:type="spellEnd"/>
      <w:r w:rsidRPr="0084755A">
        <w:t>+) средний уровень доходностей до июля 2023 года находился в коридоре 50–100 б. п. и 230–300 б. п. соответственно. Однако с июля в ожидании действия регулятора спреды ощутимо сузились, закрепившись в сентябре в отрицательной зоне для первого эшелона и ниже 150 б. п. – для второго.</w:t>
      </w:r>
    </w:p>
    <w:p w14:paraId="6DBCCA45" w14:textId="7EA8ABDA" w:rsidR="004C7AC3" w:rsidRDefault="004C7AC3" w:rsidP="00F04D3E">
      <w:pPr>
        <w:jc w:val="both"/>
        <w:rPr>
          <w:b/>
          <w:bCs/>
          <w:i/>
          <w:iCs/>
          <w:color w:val="000000"/>
        </w:rPr>
      </w:pPr>
    </w:p>
    <w:p w14:paraId="27D5D4E4" w14:textId="455EB9F3" w:rsidR="004C7AC3" w:rsidRDefault="0084755A" w:rsidP="00F04D3E">
      <w:pPr>
        <w:jc w:val="both"/>
      </w:pPr>
      <w:r w:rsidRPr="0084755A">
        <w:t xml:space="preserve">Сегмент высокодоходных облигаций двигался в том же векторе, что и более надежные бумаги. Индекс агрегированной доходности </w:t>
      </w:r>
      <w:proofErr w:type="spellStart"/>
      <w:r w:rsidRPr="0084755A">
        <w:t>Cbonds</w:t>
      </w:r>
      <w:proofErr w:type="spellEnd"/>
      <w:r w:rsidRPr="0084755A">
        <w:t xml:space="preserve"> CBI ВДО показывал достаточно стабильную динамику и не так остро отреагировал на рост ключевой ставки, находясь в коридоре 12–14% до августа 2023 года и достигнув 15% в сентябре. Спред стабильно сужался начиная с апреля 2023-го, пройдя путь от 650 б. п. в начале года до 267 б. п. к концу сентября, сильно приблизившись в показателям более качественных инструментов и даже выведя такие инструменты из классического определения ВДО, описывающего их как бумаги с премией свыше 500 б. п.</w:t>
      </w:r>
    </w:p>
    <w:p w14:paraId="5E108926" w14:textId="77777777" w:rsidR="00677E35" w:rsidRPr="0084755A" w:rsidRDefault="00677E35" w:rsidP="00E40AA0">
      <w:pPr>
        <w:ind w:left="567"/>
        <w:jc w:val="both"/>
      </w:pPr>
    </w:p>
    <w:p w14:paraId="7E11B511" w14:textId="359CBF5D" w:rsidR="0067080E" w:rsidRPr="00932B7F" w:rsidRDefault="00725806" w:rsidP="004F6B50">
      <w:pPr>
        <w:jc w:val="center"/>
      </w:pPr>
      <w:r w:rsidRPr="00932B7F">
        <w:rPr>
          <w:rFonts w:eastAsia="Tahoma"/>
          <w:b/>
          <w:bCs/>
        </w:rPr>
        <w:t>2.</w:t>
      </w:r>
      <w:r w:rsidR="00980A9A" w:rsidRPr="00861F02">
        <w:rPr>
          <w:rFonts w:eastAsia="Tahoma"/>
          <w:b/>
          <w:bCs/>
        </w:rPr>
        <w:t>2</w:t>
      </w:r>
      <w:r w:rsidRPr="00932B7F">
        <w:rPr>
          <w:rFonts w:eastAsia="Tahoma"/>
          <w:b/>
          <w:bCs/>
        </w:rPr>
        <w:t xml:space="preserve"> Анализ факторов и условий, влияющих на деятельность Общества</w:t>
      </w:r>
    </w:p>
    <w:p w14:paraId="085C40DE" w14:textId="77777777" w:rsidR="0067080E" w:rsidRPr="00932B7F" w:rsidRDefault="0067080E">
      <w:pPr>
        <w:spacing w:line="4" w:lineRule="exact"/>
      </w:pPr>
    </w:p>
    <w:p w14:paraId="56314982" w14:textId="77777777" w:rsidR="008F01E5" w:rsidRPr="00932B7F" w:rsidRDefault="008F01E5" w:rsidP="008F01E5">
      <w:pPr>
        <w:spacing w:line="200" w:lineRule="exact"/>
        <w:ind w:left="567"/>
      </w:pPr>
    </w:p>
    <w:p w14:paraId="3BDDD74B" w14:textId="3B6A69E5" w:rsidR="00425568" w:rsidRDefault="00425568" w:rsidP="00F04D3E">
      <w:pPr>
        <w:jc w:val="both"/>
        <w:rPr>
          <w:rStyle w:val="Subst"/>
          <w:b w:val="0"/>
          <w:bCs/>
          <w:i w:val="0"/>
          <w:iCs/>
        </w:rPr>
      </w:pPr>
      <w:r w:rsidRPr="00677E35">
        <w:rPr>
          <w:rStyle w:val="Subst"/>
          <w:b w:val="0"/>
          <w:bCs/>
          <w:i w:val="0"/>
          <w:iCs/>
        </w:rPr>
        <w:t>Влияние инфляции:</w:t>
      </w:r>
    </w:p>
    <w:p w14:paraId="7C6D5007" w14:textId="77777777" w:rsidR="00677E35" w:rsidRPr="00677E35" w:rsidRDefault="00677E35" w:rsidP="00F04D3E">
      <w:pPr>
        <w:jc w:val="both"/>
        <w:rPr>
          <w:rStyle w:val="Subst"/>
          <w:b w:val="0"/>
          <w:bCs/>
          <w:i w:val="0"/>
          <w:iCs/>
        </w:rPr>
      </w:pPr>
    </w:p>
    <w:p w14:paraId="657A0D9A" w14:textId="5F135111" w:rsidR="00EE5C9D" w:rsidRPr="00677E35" w:rsidRDefault="00EE5C9D" w:rsidP="00F04D3E">
      <w:pPr>
        <w:jc w:val="both"/>
        <w:rPr>
          <w:b/>
          <w:bCs/>
          <w:i/>
          <w:iCs/>
        </w:rPr>
      </w:pPr>
      <w:r w:rsidRPr="00677E35">
        <w:rPr>
          <w:b/>
          <w:bCs/>
          <w:i/>
          <w:iCs/>
        </w:rPr>
        <w:t>Ставка купонного дохода по облигационному выпуску БО-П02 является плавающей и состоит из переменного значения - точки на кривой бескупонной доходности (в процентах годовых) государственных ценных бумаг со сроком погашения 1 год (G-кривая) и фиксированной составляющей, равной 1%. Рост уровня процентных ставок увеличивает ставку купонного дохода по облигационному займу.</w:t>
      </w:r>
    </w:p>
    <w:p w14:paraId="24011ED3" w14:textId="77777777" w:rsidR="00F04D3E" w:rsidRDefault="00F04D3E" w:rsidP="00F04D3E">
      <w:pPr>
        <w:jc w:val="both"/>
        <w:rPr>
          <w:b/>
          <w:bCs/>
          <w:i/>
          <w:iCs/>
        </w:rPr>
      </w:pPr>
    </w:p>
    <w:p w14:paraId="30910CED" w14:textId="69E2270D" w:rsidR="00425568" w:rsidRPr="00677E35" w:rsidRDefault="00EE5C9D" w:rsidP="00F04D3E">
      <w:pPr>
        <w:jc w:val="both"/>
        <w:rPr>
          <w:rStyle w:val="Subst"/>
          <w:b w:val="0"/>
          <w:bCs/>
          <w:i w:val="0"/>
          <w:iCs/>
        </w:rPr>
      </w:pPr>
      <w:r w:rsidRPr="00677E35">
        <w:rPr>
          <w:b/>
          <w:bCs/>
          <w:i/>
          <w:iCs/>
        </w:rPr>
        <w:t>Эмитент внимательно отслеживает изменения и динамику, связанные с монетарной политикой, проводимой Банком России, и адаптирует свою деятельность соответственно. Принимая во внимание, что максимальная ставка купона в соответствии с эмиссионной документацией ограничена 15%, Эмитент имеет возможность управлять данным видом риска, предпринимая заранее необходимые меры для обеспечения надлежащего выполнения своих обязательств по выплате купонного дохода</w:t>
      </w:r>
      <w:r w:rsidR="0004200E" w:rsidRPr="00677E35">
        <w:rPr>
          <w:b/>
          <w:bCs/>
          <w:i/>
          <w:iCs/>
        </w:rPr>
        <w:t>.</w:t>
      </w:r>
    </w:p>
    <w:p w14:paraId="53DD2E32" w14:textId="77777777" w:rsidR="00677E35" w:rsidRDefault="00677E35" w:rsidP="00F04D3E">
      <w:pPr>
        <w:jc w:val="both"/>
        <w:rPr>
          <w:rStyle w:val="Subst"/>
          <w:bCs/>
          <w:i w:val="0"/>
          <w:iCs/>
        </w:rPr>
      </w:pPr>
    </w:p>
    <w:p w14:paraId="19B641C8" w14:textId="08A41495" w:rsidR="0004200E" w:rsidRPr="00677E35" w:rsidRDefault="0004200E" w:rsidP="00F04D3E">
      <w:pPr>
        <w:jc w:val="both"/>
        <w:rPr>
          <w:b/>
          <w:bCs/>
          <w:i/>
          <w:iCs/>
        </w:rPr>
      </w:pPr>
      <w:r w:rsidRPr="00677E35">
        <w:rPr>
          <w:rStyle w:val="Subst"/>
          <w:b w:val="0"/>
          <w:bCs/>
          <w:i w:val="0"/>
          <w:iCs/>
        </w:rPr>
        <w:t>Правовые, риски</w:t>
      </w:r>
      <w:r w:rsidR="00677E35">
        <w:rPr>
          <w:rStyle w:val="Subst"/>
          <w:b w:val="0"/>
          <w:bCs/>
          <w:i w:val="0"/>
          <w:iCs/>
        </w:rPr>
        <w:t>:</w:t>
      </w:r>
    </w:p>
    <w:p w14:paraId="2C78211A" w14:textId="77777777" w:rsidR="00FB254C" w:rsidRDefault="00FB254C" w:rsidP="00FB254C">
      <w:pPr>
        <w:jc w:val="both"/>
        <w:rPr>
          <w:b/>
          <w:bCs/>
          <w:i/>
          <w:iCs/>
        </w:rPr>
      </w:pPr>
    </w:p>
    <w:p w14:paraId="0C306F07" w14:textId="1271A29D" w:rsidR="0004200E" w:rsidRPr="00677E35" w:rsidRDefault="0004200E" w:rsidP="00FB254C">
      <w:pPr>
        <w:jc w:val="both"/>
        <w:rPr>
          <w:b/>
          <w:bCs/>
          <w:i/>
          <w:iCs/>
        </w:rPr>
      </w:pPr>
      <w:r w:rsidRPr="00677E35">
        <w:rPr>
          <w:b/>
          <w:bCs/>
          <w:i/>
          <w:iCs/>
        </w:rPr>
        <w:t>В обозримой перспективе риски, связанные с изменением валютного, налогового, таможенного и прочих законодательств, которые могут повлечь за собой ухудшение финансового состояния ООО «ФИНКОНСАЛТ», по мнению эмитента являются незначительными.</w:t>
      </w:r>
    </w:p>
    <w:p w14:paraId="2233DC5D" w14:textId="77777777" w:rsidR="00FB254C" w:rsidRDefault="00FB254C" w:rsidP="00FB254C">
      <w:pPr>
        <w:jc w:val="both"/>
        <w:rPr>
          <w:b/>
          <w:bCs/>
          <w:i/>
          <w:iCs/>
        </w:rPr>
      </w:pPr>
    </w:p>
    <w:p w14:paraId="1E7546EC" w14:textId="179AA18A" w:rsidR="0004200E" w:rsidRPr="00677E35" w:rsidRDefault="0004200E" w:rsidP="00FB254C">
      <w:pPr>
        <w:jc w:val="both"/>
        <w:rPr>
          <w:b/>
          <w:bCs/>
          <w:i/>
          <w:iCs/>
        </w:rPr>
      </w:pPr>
      <w:r w:rsidRPr="00677E35">
        <w:rPr>
          <w:b/>
          <w:bCs/>
          <w:i/>
          <w:iCs/>
        </w:rPr>
        <w:t>ООО «ФИНКОНСАЛТ» строит свою деятельность на основе строгого соответствия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правоприменительной практики.</w:t>
      </w:r>
    </w:p>
    <w:p w14:paraId="599ECC16" w14:textId="77777777" w:rsidR="0004200E" w:rsidRPr="0004200E" w:rsidRDefault="0004200E" w:rsidP="00F04D3E">
      <w:pPr>
        <w:jc w:val="both"/>
        <w:rPr>
          <w:b/>
          <w:bCs/>
          <w:i/>
          <w:iCs/>
        </w:rPr>
      </w:pPr>
    </w:p>
    <w:p w14:paraId="3C084B0C" w14:textId="19B64B4F" w:rsidR="0004200E" w:rsidRPr="00677E35" w:rsidRDefault="0004200E" w:rsidP="00F04D3E">
      <w:pPr>
        <w:jc w:val="both"/>
        <w:rPr>
          <w:rStyle w:val="Subst"/>
          <w:b w:val="0"/>
        </w:rPr>
      </w:pPr>
      <w:r w:rsidRPr="00677E35">
        <w:rPr>
          <w:rStyle w:val="Subst"/>
          <w:b w:val="0"/>
          <w:bCs/>
          <w:i w:val="0"/>
          <w:iCs/>
        </w:rPr>
        <w:t>Риск потери деловой репутации (репутационный риск)</w:t>
      </w:r>
      <w:r w:rsidR="00677E35" w:rsidRPr="00677E35">
        <w:rPr>
          <w:rStyle w:val="Subst"/>
          <w:b w:val="0"/>
          <w:bCs/>
          <w:i w:val="0"/>
          <w:iCs/>
        </w:rPr>
        <w:t>:</w:t>
      </w:r>
    </w:p>
    <w:p w14:paraId="320B18A4" w14:textId="77777777" w:rsidR="00FB254C" w:rsidRDefault="00FB254C" w:rsidP="00FB254C">
      <w:pPr>
        <w:jc w:val="both"/>
        <w:rPr>
          <w:b/>
          <w:bCs/>
          <w:i/>
          <w:iCs/>
        </w:rPr>
      </w:pPr>
    </w:p>
    <w:p w14:paraId="53AA5EAA" w14:textId="3A999C39" w:rsidR="0004200E" w:rsidRPr="00677E35" w:rsidRDefault="0004200E" w:rsidP="00FB254C">
      <w:pPr>
        <w:jc w:val="both"/>
        <w:rPr>
          <w:b/>
          <w:bCs/>
          <w:i/>
          <w:iCs/>
        </w:rPr>
      </w:pPr>
      <w:r w:rsidRPr="00677E35">
        <w:rPr>
          <w:b/>
          <w:bCs/>
          <w:i/>
          <w:iCs/>
        </w:rPr>
        <w:t>На всем протяжении своей деятельности ООО «ФИНКОНСАЛТ» не допускало ситуаций, которые могли бы представлять угрозу его деловой операции.</w:t>
      </w:r>
    </w:p>
    <w:p w14:paraId="49FE75B3" w14:textId="77777777" w:rsidR="0004200E" w:rsidRPr="00677E35" w:rsidRDefault="0004200E" w:rsidP="00F04D3E">
      <w:pPr>
        <w:ind w:left="567"/>
        <w:jc w:val="both"/>
        <w:rPr>
          <w:b/>
          <w:bCs/>
          <w:i/>
          <w:iCs/>
        </w:rPr>
      </w:pPr>
    </w:p>
    <w:p w14:paraId="41F63AFB" w14:textId="77777777" w:rsidR="0004200E" w:rsidRPr="00677E35" w:rsidRDefault="0004200E" w:rsidP="00FB254C">
      <w:pPr>
        <w:jc w:val="both"/>
        <w:rPr>
          <w:b/>
          <w:bCs/>
          <w:i/>
          <w:iCs/>
        </w:rPr>
      </w:pPr>
      <w:r w:rsidRPr="00677E35">
        <w:rPr>
          <w:b/>
          <w:bCs/>
          <w:i/>
          <w:iCs/>
        </w:rPr>
        <w:t>ООО «ФИНКОНСАЛТ» добросовестно и своевременно осуществляет раскрытие всей необходимой информации согласно требованиям действующего законодательства на всех этапах своей деятельности, что способствует достижению высокой степени прозрачности в деятельности и укреплению репутации Эмитента как надежного заемщика.</w:t>
      </w:r>
    </w:p>
    <w:p w14:paraId="1E4178B1" w14:textId="77777777" w:rsidR="0004200E" w:rsidRPr="00677E35" w:rsidRDefault="0004200E" w:rsidP="00FB254C">
      <w:pPr>
        <w:jc w:val="both"/>
        <w:rPr>
          <w:b/>
          <w:bCs/>
          <w:i/>
          <w:iCs/>
        </w:rPr>
      </w:pPr>
    </w:p>
    <w:p w14:paraId="50BFD90B" w14:textId="77777777" w:rsidR="0004200E" w:rsidRPr="00677E35" w:rsidRDefault="0004200E" w:rsidP="00FB254C">
      <w:pPr>
        <w:jc w:val="both"/>
        <w:rPr>
          <w:b/>
          <w:bCs/>
          <w:i/>
          <w:iCs/>
        </w:rPr>
      </w:pPr>
      <w:r w:rsidRPr="00677E35">
        <w:rPr>
          <w:b/>
          <w:bCs/>
          <w:i/>
          <w:iCs/>
        </w:rPr>
        <w:t>Эмитент не допускал случаев просрочек или иных нарушений в исполнении своих финансовых обязательств перед держателями биржевых облигаций.</w:t>
      </w:r>
    </w:p>
    <w:p w14:paraId="6AF6646B" w14:textId="77777777" w:rsidR="0004200E" w:rsidRPr="00677E35" w:rsidRDefault="0004200E" w:rsidP="00FB254C">
      <w:pPr>
        <w:jc w:val="both"/>
        <w:rPr>
          <w:b/>
          <w:bCs/>
          <w:i/>
          <w:iCs/>
        </w:rPr>
      </w:pPr>
    </w:p>
    <w:p w14:paraId="09774C85" w14:textId="498FADE1" w:rsidR="0004200E" w:rsidRPr="00677E35" w:rsidRDefault="0004200E" w:rsidP="00FB254C">
      <w:pPr>
        <w:jc w:val="both"/>
        <w:rPr>
          <w:b/>
          <w:bCs/>
          <w:i/>
          <w:iCs/>
        </w:rPr>
      </w:pPr>
      <w:r w:rsidRPr="00677E35">
        <w:rPr>
          <w:b/>
          <w:bCs/>
          <w:i/>
          <w:iCs/>
        </w:rPr>
        <w:t>ООО «ФИНКОНСАЛТ» обеспечивает прозрачность своей финансовой деятельности путем опубликования бухгалтерской и финансовой отчетности, годовых отчетов</w:t>
      </w:r>
      <w:r w:rsidR="000F3D7B" w:rsidRPr="00677E35">
        <w:rPr>
          <w:b/>
          <w:bCs/>
          <w:i/>
          <w:iCs/>
        </w:rPr>
        <w:t xml:space="preserve"> </w:t>
      </w:r>
      <w:r w:rsidRPr="00677E35">
        <w:rPr>
          <w:b/>
          <w:bCs/>
          <w:i/>
          <w:iCs/>
        </w:rPr>
        <w:t>Общества, раскрытия отчетов Эмитента ценных бумаг за 12 и 6 месяцев отчётного года. Ежегодного проводится независимый аудит бухгалтерской отчетности.</w:t>
      </w:r>
    </w:p>
    <w:p w14:paraId="40BF304E" w14:textId="77777777" w:rsidR="0004200E" w:rsidRPr="00677E35" w:rsidRDefault="0004200E" w:rsidP="00FB254C">
      <w:pPr>
        <w:jc w:val="both"/>
        <w:rPr>
          <w:b/>
          <w:bCs/>
          <w:i/>
          <w:iCs/>
        </w:rPr>
      </w:pPr>
    </w:p>
    <w:p w14:paraId="01ACFDB3" w14:textId="77777777" w:rsidR="0004200E" w:rsidRPr="00677E35" w:rsidRDefault="0004200E" w:rsidP="00FB254C">
      <w:pPr>
        <w:jc w:val="both"/>
        <w:rPr>
          <w:b/>
          <w:bCs/>
          <w:i/>
          <w:iCs/>
        </w:rPr>
      </w:pPr>
      <w:r w:rsidRPr="00677E35">
        <w:rPr>
          <w:b/>
          <w:bCs/>
          <w:i/>
          <w:iCs/>
        </w:rPr>
        <w:t>Риск потери деловой репутации Эмитент оценивает как маловероятный.</w:t>
      </w:r>
    </w:p>
    <w:p w14:paraId="6C1B1702" w14:textId="77777777" w:rsidR="0004200E" w:rsidRPr="0004200E" w:rsidRDefault="0004200E" w:rsidP="00F04D3E">
      <w:pPr>
        <w:jc w:val="both"/>
        <w:rPr>
          <w:b/>
          <w:bCs/>
          <w:i/>
          <w:iCs/>
        </w:rPr>
      </w:pPr>
    </w:p>
    <w:p w14:paraId="664EAB13" w14:textId="76B7B41D" w:rsidR="0004200E" w:rsidRPr="00677E35" w:rsidRDefault="0004200E" w:rsidP="00F04D3E">
      <w:pPr>
        <w:jc w:val="both"/>
        <w:rPr>
          <w:rStyle w:val="Subst"/>
          <w:b w:val="0"/>
        </w:rPr>
      </w:pPr>
      <w:r w:rsidRPr="00677E35">
        <w:rPr>
          <w:rStyle w:val="Subst"/>
          <w:b w:val="0"/>
          <w:bCs/>
          <w:i w:val="0"/>
          <w:iCs/>
        </w:rPr>
        <w:t>Стратегический риск</w:t>
      </w:r>
      <w:r w:rsidR="00677E35">
        <w:rPr>
          <w:rStyle w:val="Subst"/>
          <w:b w:val="0"/>
          <w:bCs/>
          <w:i w:val="0"/>
          <w:iCs/>
        </w:rPr>
        <w:t>:</w:t>
      </w:r>
    </w:p>
    <w:p w14:paraId="7305E1C6" w14:textId="77777777" w:rsidR="0004200E" w:rsidRPr="0004200E" w:rsidRDefault="0004200E" w:rsidP="00F04D3E">
      <w:pPr>
        <w:jc w:val="both"/>
        <w:rPr>
          <w:b/>
          <w:bCs/>
          <w:i/>
          <w:iCs/>
        </w:rPr>
      </w:pPr>
    </w:p>
    <w:p w14:paraId="43B35C05" w14:textId="3B3E86F9" w:rsidR="0004200E" w:rsidRDefault="0004200E" w:rsidP="00FB254C">
      <w:pPr>
        <w:jc w:val="both"/>
        <w:rPr>
          <w:b/>
          <w:bCs/>
          <w:i/>
          <w:iCs/>
        </w:rPr>
      </w:pPr>
      <w:r w:rsidRPr="00677E35">
        <w:rPr>
          <w:b/>
          <w:bCs/>
          <w:i/>
          <w:iCs/>
        </w:rPr>
        <w:t xml:space="preserve">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sidRPr="00677E35">
        <w:rPr>
          <w:b/>
          <w:bCs/>
          <w:i/>
          <w:iCs/>
        </w:rPr>
        <w:t>неучете</w:t>
      </w:r>
      <w:proofErr w:type="spellEnd"/>
      <w:r w:rsidRPr="00677E35">
        <w:rPr>
          <w:b/>
          <w:bCs/>
          <w:i/>
          <w:iCs/>
        </w:rPr>
        <w:t xml:space="preserve">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и организационных мер (управленческих решений), которые должны обеспечить достижение стратегических целей деятельности эмитента. </w:t>
      </w:r>
    </w:p>
    <w:p w14:paraId="68CCBFF1" w14:textId="77777777" w:rsidR="00FB254C" w:rsidRPr="00677E35" w:rsidRDefault="00FB254C" w:rsidP="00FB254C">
      <w:pPr>
        <w:jc w:val="both"/>
        <w:rPr>
          <w:b/>
          <w:bCs/>
          <w:i/>
          <w:iCs/>
        </w:rPr>
      </w:pPr>
    </w:p>
    <w:p w14:paraId="2A8BCFB4" w14:textId="77777777" w:rsidR="0004200E" w:rsidRPr="004F6B50" w:rsidRDefault="0004200E" w:rsidP="00FB254C">
      <w:pPr>
        <w:jc w:val="both"/>
        <w:rPr>
          <w:b/>
          <w:bCs/>
          <w:i/>
          <w:iCs/>
        </w:rPr>
      </w:pPr>
      <w:r w:rsidRPr="004F6B50">
        <w:rPr>
          <w:b/>
          <w:bCs/>
          <w:i/>
          <w:iCs/>
        </w:rPr>
        <w:t>Стратегический риск состоит в следующем:</w:t>
      </w:r>
    </w:p>
    <w:p w14:paraId="726697E1" w14:textId="18BD1B2F" w:rsidR="0004200E" w:rsidRPr="00677E35" w:rsidRDefault="0004200E" w:rsidP="00FB254C">
      <w:pPr>
        <w:tabs>
          <w:tab w:val="left" w:pos="567"/>
        </w:tabs>
        <w:jc w:val="both"/>
        <w:rPr>
          <w:b/>
          <w:bCs/>
          <w:i/>
          <w:iCs/>
        </w:rPr>
      </w:pPr>
      <w:r w:rsidRPr="0004200E">
        <w:rPr>
          <w:bCs/>
          <w:iCs/>
        </w:rPr>
        <w:t>•</w:t>
      </w:r>
      <w:r w:rsidR="006F3C10">
        <w:rPr>
          <w:bCs/>
          <w:iCs/>
        </w:rPr>
        <w:tab/>
      </w:r>
      <w:r w:rsidRPr="00677E35">
        <w:rPr>
          <w:b/>
          <w:bCs/>
          <w:i/>
          <w:iCs/>
        </w:rPr>
        <w:t xml:space="preserve">недостаточном учете возможных опасностей, которые могут угрожать деятельности </w:t>
      </w:r>
      <w:r w:rsidR="00C60C06" w:rsidRPr="00677E35">
        <w:rPr>
          <w:b/>
          <w:bCs/>
          <w:i/>
          <w:iCs/>
        </w:rPr>
        <w:t>Общества</w:t>
      </w:r>
      <w:r w:rsidRPr="00677E35">
        <w:rPr>
          <w:b/>
          <w:bCs/>
          <w:i/>
          <w:iCs/>
        </w:rPr>
        <w:t>;</w:t>
      </w:r>
    </w:p>
    <w:p w14:paraId="64DD84DA" w14:textId="76AC8554" w:rsidR="0004200E" w:rsidRPr="006F3C10" w:rsidRDefault="0004200E" w:rsidP="00FB254C">
      <w:pPr>
        <w:tabs>
          <w:tab w:val="left" w:pos="567"/>
        </w:tabs>
        <w:jc w:val="both"/>
        <w:rPr>
          <w:b/>
          <w:bCs/>
          <w:i/>
          <w:iCs/>
        </w:rPr>
      </w:pPr>
      <w:r w:rsidRPr="006F3C10">
        <w:rPr>
          <w:bCs/>
          <w:iCs/>
        </w:rPr>
        <w:t>•</w:t>
      </w:r>
      <w:r w:rsidRPr="006F3C10">
        <w:rPr>
          <w:bCs/>
          <w:iCs/>
        </w:rPr>
        <w:tab/>
      </w:r>
      <w:r w:rsidRPr="006F3C10">
        <w:rPr>
          <w:b/>
          <w:bCs/>
          <w:i/>
          <w:iCs/>
        </w:rPr>
        <w:t>неверном или недостаточно обоснованном определении перспективных направлений деятельности;</w:t>
      </w:r>
    </w:p>
    <w:p w14:paraId="213E919D" w14:textId="41EB3066" w:rsidR="0004200E" w:rsidRPr="00677E35" w:rsidRDefault="0004200E" w:rsidP="00FB254C">
      <w:pPr>
        <w:tabs>
          <w:tab w:val="left" w:pos="567"/>
        </w:tabs>
        <w:jc w:val="both"/>
        <w:rPr>
          <w:b/>
          <w:bCs/>
          <w:i/>
          <w:iCs/>
        </w:rPr>
      </w:pPr>
      <w:r w:rsidRPr="006F3C10">
        <w:rPr>
          <w:b/>
          <w:bCs/>
          <w:i/>
          <w:iCs/>
        </w:rPr>
        <w:t>•</w:t>
      </w:r>
      <w:r w:rsidR="006F3C10" w:rsidRPr="006F3C10">
        <w:rPr>
          <w:b/>
          <w:bCs/>
          <w:i/>
          <w:iCs/>
        </w:rPr>
        <w:tab/>
      </w:r>
      <w:r w:rsidRPr="006F3C10">
        <w:rPr>
          <w:b/>
          <w:bCs/>
          <w:i/>
          <w:iCs/>
        </w:rPr>
        <w:t xml:space="preserve">отсутствии или обеспечении </w:t>
      </w:r>
      <w:r w:rsidRPr="00677E35">
        <w:rPr>
          <w:b/>
          <w:bCs/>
          <w:i/>
          <w:iCs/>
        </w:rPr>
        <w:t xml:space="preserve">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w:t>
      </w:r>
      <w:r w:rsidR="00C60C06" w:rsidRPr="00677E35">
        <w:rPr>
          <w:b/>
          <w:bCs/>
          <w:i/>
          <w:iCs/>
        </w:rPr>
        <w:t>Общества</w:t>
      </w:r>
      <w:r w:rsidRPr="00677E35">
        <w:rPr>
          <w:b/>
          <w:bCs/>
          <w:i/>
          <w:iCs/>
        </w:rPr>
        <w:t xml:space="preserve">. </w:t>
      </w:r>
    </w:p>
    <w:p w14:paraId="7864F585" w14:textId="77777777" w:rsidR="0004200E" w:rsidRPr="0004200E" w:rsidRDefault="0004200E" w:rsidP="00FB254C">
      <w:pPr>
        <w:tabs>
          <w:tab w:val="left" w:pos="567"/>
        </w:tabs>
        <w:jc w:val="both"/>
        <w:rPr>
          <w:bCs/>
          <w:iCs/>
        </w:rPr>
      </w:pPr>
    </w:p>
    <w:p w14:paraId="0B12E0AE" w14:textId="372F2E45" w:rsidR="00425568" w:rsidRPr="006F3C10" w:rsidRDefault="0004200E" w:rsidP="00FB254C">
      <w:pPr>
        <w:tabs>
          <w:tab w:val="left" w:pos="567"/>
        </w:tabs>
        <w:jc w:val="both"/>
        <w:rPr>
          <w:b/>
          <w:bCs/>
          <w:i/>
          <w:iCs/>
        </w:rPr>
      </w:pPr>
      <w:r w:rsidRPr="006F3C10">
        <w:rPr>
          <w:b/>
          <w:bCs/>
          <w:i/>
          <w:iCs/>
        </w:rPr>
        <w:t>Определение основных направлений деятельности ООО "ФИНКОНСАЛТ" подпадает под компетенцию общего собрания участников Общества, в то время как определение приоритетных направлений операционной деятельности ООО "ФИНКОНСАЛТ" лежит в компетенции Генерального директора. Процесс определения этих направлений включает в себя</w:t>
      </w:r>
      <w:r w:rsidR="00E53D4D" w:rsidRPr="006F3C10">
        <w:rPr>
          <w:b/>
          <w:bCs/>
          <w:i/>
          <w:iCs/>
        </w:rPr>
        <w:t xml:space="preserve"> </w:t>
      </w:r>
      <w:r w:rsidRPr="006F3C10">
        <w:rPr>
          <w:b/>
          <w:bCs/>
          <w:i/>
          <w:iCs/>
        </w:rPr>
        <w:t>анализ макроэкономических показателей и показателей развития финансового сектора экономики, а также оценку необходимых ресурсов для достижения поставленных целей. Эмитент регулярно отслеживает выполнение принятых решений и, в случае изменения внешних или внутренних факторов, которые могли бы повлиять на эти решения, вносит соответствующие корректировки.</w:t>
      </w:r>
    </w:p>
    <w:p w14:paraId="5CC378BD" w14:textId="77777777" w:rsidR="00C8755E" w:rsidRPr="006F3C10" w:rsidRDefault="00C8755E" w:rsidP="00FB254C">
      <w:pPr>
        <w:tabs>
          <w:tab w:val="left" w:pos="567"/>
        </w:tabs>
        <w:spacing w:line="239" w:lineRule="auto"/>
        <w:jc w:val="both"/>
        <w:rPr>
          <w:rFonts w:eastAsia="Tahoma"/>
          <w:b/>
          <w:bCs/>
          <w:i/>
        </w:rPr>
      </w:pPr>
      <w:bookmarkStart w:id="2" w:name="page4"/>
      <w:bookmarkEnd w:id="2"/>
    </w:p>
    <w:p w14:paraId="422CD9FE" w14:textId="77777777" w:rsidR="0067080E" w:rsidRPr="006F3C10" w:rsidRDefault="0067080E" w:rsidP="00FB254C">
      <w:pPr>
        <w:tabs>
          <w:tab w:val="left" w:pos="567"/>
        </w:tabs>
        <w:spacing w:line="1" w:lineRule="exact"/>
        <w:jc w:val="both"/>
        <w:rPr>
          <w:b/>
          <w:i/>
        </w:rPr>
      </w:pPr>
    </w:p>
    <w:p w14:paraId="00A95F99" w14:textId="646D349E" w:rsidR="00834192" w:rsidRPr="006F3C10" w:rsidRDefault="00834192" w:rsidP="00FB254C">
      <w:pPr>
        <w:tabs>
          <w:tab w:val="left" w:pos="567"/>
        </w:tabs>
        <w:jc w:val="both"/>
        <w:rPr>
          <w:b/>
          <w:bCs/>
          <w:i/>
          <w:iCs/>
        </w:rPr>
      </w:pPr>
      <w:r w:rsidRPr="006F3C10">
        <w:rPr>
          <w:b/>
          <w:bCs/>
          <w:i/>
          <w:iCs/>
        </w:rPr>
        <w:t xml:space="preserve">Учитывая характер и </w:t>
      </w:r>
      <w:r w:rsidR="00E3086B" w:rsidRPr="006F3C10">
        <w:rPr>
          <w:b/>
          <w:bCs/>
          <w:i/>
          <w:iCs/>
        </w:rPr>
        <w:t>специфику деятельности Эмитента,</w:t>
      </w:r>
      <w:r w:rsidRPr="006F3C10">
        <w:rPr>
          <w:b/>
          <w:bCs/>
          <w:i/>
          <w:iCs/>
        </w:rPr>
        <w:t xml:space="preserve"> и отсутствие прямых конкурентов, факторы конкурентоспособности Эмитента не приводятся.</w:t>
      </w:r>
    </w:p>
    <w:p w14:paraId="04BC6B75" w14:textId="4B73180F" w:rsidR="00B07DC1" w:rsidRDefault="00B07DC1" w:rsidP="00F04D3E">
      <w:pPr>
        <w:spacing w:line="200" w:lineRule="exact"/>
        <w:jc w:val="both"/>
      </w:pPr>
    </w:p>
    <w:p w14:paraId="196EC5E7" w14:textId="77777777" w:rsidR="00B07DC1" w:rsidRDefault="00B07DC1" w:rsidP="00C8755E">
      <w:pPr>
        <w:spacing w:line="200" w:lineRule="exact"/>
        <w:ind w:firstLine="567"/>
        <w:jc w:val="both"/>
      </w:pPr>
    </w:p>
    <w:p w14:paraId="4144EB4C" w14:textId="1D602822" w:rsidR="006F3C10" w:rsidRPr="004F6B50" w:rsidRDefault="001F687A" w:rsidP="001F687A">
      <w:pPr>
        <w:spacing w:line="200" w:lineRule="exact"/>
        <w:ind w:firstLine="567"/>
        <w:jc w:val="center"/>
        <w:rPr>
          <w:b/>
          <w:bCs/>
        </w:rPr>
      </w:pPr>
      <w:r w:rsidRPr="004F6B50">
        <w:rPr>
          <w:b/>
          <w:bCs/>
        </w:rPr>
        <w:t>3. ПОКАЗАТЕЛИ ФИНАНСОВО</w:t>
      </w:r>
      <w:r w:rsidRPr="004F6B50">
        <w:rPr>
          <w:b/>
          <w:bCs/>
        </w:rPr>
        <w:t>-</w:t>
      </w:r>
      <w:r w:rsidRPr="004F6B50">
        <w:rPr>
          <w:b/>
          <w:bCs/>
        </w:rPr>
        <w:t>ЭКОНОМИЧЕСКОЙ ДЕЯТЕЛЬНОСТИ ОБЩЕСТВА</w:t>
      </w:r>
    </w:p>
    <w:p w14:paraId="3CC1A298" w14:textId="77777777" w:rsidR="00B07DC1" w:rsidRDefault="00B07DC1" w:rsidP="00B77BAE">
      <w:pPr>
        <w:pStyle w:val="af2"/>
        <w:jc w:val="both"/>
        <w:rPr>
          <w:rFonts w:ascii="Times New Roman" w:hAnsi="Times New Roman"/>
          <w:sz w:val="22"/>
          <w:szCs w:val="22"/>
        </w:rPr>
      </w:pPr>
    </w:p>
    <w:p w14:paraId="1D341B5E" w14:textId="114BE4EB" w:rsidR="00B77BAE" w:rsidRPr="00B07DC1" w:rsidRDefault="00B07DC1" w:rsidP="004F6B50">
      <w:pPr>
        <w:pStyle w:val="af2"/>
        <w:rPr>
          <w:rFonts w:ascii="Times New Roman" w:hAnsi="Times New Roman"/>
          <w:b/>
          <w:sz w:val="22"/>
          <w:szCs w:val="22"/>
        </w:rPr>
      </w:pPr>
      <w:r w:rsidRPr="00B07DC1">
        <w:rPr>
          <w:rFonts w:ascii="Times New Roman" w:hAnsi="Times New Roman"/>
          <w:b/>
          <w:sz w:val="22"/>
          <w:szCs w:val="22"/>
        </w:rPr>
        <w:t xml:space="preserve">3.1. </w:t>
      </w:r>
      <w:r w:rsidR="00B77BAE" w:rsidRPr="00B07DC1">
        <w:rPr>
          <w:rFonts w:ascii="Times New Roman" w:hAnsi="Times New Roman"/>
          <w:b/>
          <w:sz w:val="22"/>
          <w:szCs w:val="22"/>
        </w:rPr>
        <w:t>Основные операционные показатели, характеризующие деятельность эмитента</w:t>
      </w:r>
      <w:r w:rsidR="001F687A" w:rsidRPr="00B07DC1">
        <w:rPr>
          <w:rFonts w:ascii="Times New Roman" w:hAnsi="Times New Roman"/>
          <w:b/>
          <w:sz w:val="22"/>
          <w:szCs w:val="22"/>
        </w:rPr>
        <w:t>:</w:t>
      </w:r>
    </w:p>
    <w:p w14:paraId="553342C2" w14:textId="77777777" w:rsidR="00811D9E" w:rsidRPr="00B07DC1" w:rsidRDefault="00811D9E" w:rsidP="001F687A">
      <w:pPr>
        <w:ind w:left="400"/>
        <w:jc w:val="right"/>
        <w:rPr>
          <w:rStyle w:val="Subst"/>
          <w:sz w:val="20"/>
          <w:szCs w:val="20"/>
        </w:rPr>
      </w:pPr>
      <w:r w:rsidRPr="00B07DC1">
        <w:rPr>
          <w:sz w:val="20"/>
          <w:szCs w:val="20"/>
        </w:rPr>
        <w:t>Единица измерения:</w:t>
      </w:r>
      <w:r w:rsidRPr="00B07DC1">
        <w:rPr>
          <w:rStyle w:val="Subst"/>
          <w:sz w:val="20"/>
          <w:szCs w:val="20"/>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79"/>
        <w:gridCol w:w="2251"/>
        <w:gridCol w:w="2251"/>
        <w:gridCol w:w="2249"/>
      </w:tblGrid>
      <w:tr w:rsidR="00E53D4D" w:rsidRPr="00D5389E" w14:paraId="3047A4D5" w14:textId="77777777" w:rsidTr="00C62DDB">
        <w:trPr>
          <w:trHeight w:val="134"/>
        </w:trPr>
        <w:tc>
          <w:tcPr>
            <w:tcW w:w="1764" w:type="pct"/>
          </w:tcPr>
          <w:p w14:paraId="0A577B17" w14:textId="77777777" w:rsidR="00E53D4D" w:rsidRPr="00510904" w:rsidRDefault="00E53D4D" w:rsidP="00E53D4D">
            <w:pPr>
              <w:pStyle w:val="ConsPlusNormal"/>
              <w:ind w:firstLine="283"/>
              <w:jc w:val="both"/>
              <w:rPr>
                <w:rFonts w:ascii="Times New Roman" w:hAnsi="Times New Roman" w:cs="Times New Roman"/>
                <w:szCs w:val="20"/>
              </w:rPr>
            </w:pPr>
            <w:r w:rsidRPr="00510904">
              <w:rPr>
                <w:rFonts w:ascii="Times New Roman" w:hAnsi="Times New Roman" w:cs="Times New Roman"/>
                <w:szCs w:val="20"/>
              </w:rPr>
              <w:t>Наименование показателя</w:t>
            </w:r>
          </w:p>
        </w:tc>
        <w:tc>
          <w:tcPr>
            <w:tcW w:w="1079" w:type="pct"/>
          </w:tcPr>
          <w:p w14:paraId="0309E141" w14:textId="75158E4B" w:rsidR="00E53D4D" w:rsidRPr="00510904" w:rsidRDefault="00E53D4D" w:rsidP="00E53D4D">
            <w:pPr>
              <w:pStyle w:val="ConsPlusNormal"/>
              <w:jc w:val="center"/>
              <w:rPr>
                <w:rFonts w:ascii="Times New Roman" w:hAnsi="Times New Roman" w:cs="Times New Roman"/>
                <w:szCs w:val="20"/>
              </w:rPr>
            </w:pPr>
            <w:r w:rsidRPr="00510904">
              <w:rPr>
                <w:rFonts w:ascii="Times New Roman" w:hAnsi="Times New Roman" w:cs="Times New Roman"/>
                <w:szCs w:val="20"/>
              </w:rPr>
              <w:t>2023</w:t>
            </w:r>
          </w:p>
        </w:tc>
        <w:tc>
          <w:tcPr>
            <w:tcW w:w="1079" w:type="pct"/>
          </w:tcPr>
          <w:p w14:paraId="61DC4C74" w14:textId="3098A6ED" w:rsidR="00E53D4D" w:rsidRPr="00510904" w:rsidRDefault="00E53D4D" w:rsidP="00E53D4D">
            <w:pPr>
              <w:pStyle w:val="ConsPlusNormal"/>
              <w:jc w:val="center"/>
              <w:rPr>
                <w:rFonts w:ascii="Times New Roman" w:hAnsi="Times New Roman" w:cs="Times New Roman"/>
                <w:szCs w:val="20"/>
              </w:rPr>
            </w:pPr>
            <w:r w:rsidRPr="00510904">
              <w:rPr>
                <w:rFonts w:ascii="Times New Roman" w:hAnsi="Times New Roman" w:cs="Times New Roman"/>
                <w:szCs w:val="20"/>
              </w:rPr>
              <w:t>2022</w:t>
            </w:r>
          </w:p>
        </w:tc>
        <w:tc>
          <w:tcPr>
            <w:tcW w:w="1078" w:type="pct"/>
          </w:tcPr>
          <w:p w14:paraId="54EE7DAA" w14:textId="4EF1FC07" w:rsidR="00E53D4D" w:rsidRPr="00510904" w:rsidRDefault="00E53D4D" w:rsidP="00E53D4D">
            <w:pPr>
              <w:pStyle w:val="ConsPlusNormal"/>
              <w:jc w:val="center"/>
              <w:rPr>
                <w:rFonts w:ascii="Times New Roman" w:hAnsi="Times New Roman" w:cs="Times New Roman"/>
                <w:szCs w:val="20"/>
              </w:rPr>
            </w:pPr>
            <w:r w:rsidRPr="00510904">
              <w:rPr>
                <w:rFonts w:ascii="Times New Roman" w:hAnsi="Times New Roman" w:cs="Times New Roman"/>
                <w:szCs w:val="20"/>
              </w:rPr>
              <w:t>2021</w:t>
            </w:r>
          </w:p>
        </w:tc>
      </w:tr>
      <w:tr w:rsidR="00E53D4D" w:rsidRPr="00D5389E" w14:paraId="463DFD33" w14:textId="77777777" w:rsidTr="00C62DDB">
        <w:trPr>
          <w:trHeight w:val="134"/>
        </w:trPr>
        <w:tc>
          <w:tcPr>
            <w:tcW w:w="1764" w:type="pct"/>
          </w:tcPr>
          <w:p w14:paraId="478B3CBF" w14:textId="77777777" w:rsidR="00E53D4D" w:rsidRPr="006F3C10" w:rsidRDefault="00E53D4D" w:rsidP="00E53D4D">
            <w:pPr>
              <w:pStyle w:val="ConsPlusNormal"/>
              <w:ind w:firstLine="283"/>
              <w:jc w:val="both"/>
              <w:rPr>
                <w:rFonts w:ascii="Times New Roman" w:hAnsi="Times New Roman" w:cs="Times New Roman"/>
                <w:b/>
                <w:i/>
                <w:sz w:val="22"/>
              </w:rPr>
            </w:pPr>
            <w:r w:rsidRPr="006F3C10">
              <w:rPr>
                <w:rFonts w:ascii="Times New Roman" w:hAnsi="Times New Roman" w:cs="Times New Roman"/>
                <w:b/>
                <w:i/>
                <w:sz w:val="22"/>
              </w:rPr>
              <w:t>Чистые активы</w:t>
            </w:r>
          </w:p>
        </w:tc>
        <w:tc>
          <w:tcPr>
            <w:tcW w:w="1079" w:type="pct"/>
          </w:tcPr>
          <w:p w14:paraId="54FB6D19" w14:textId="5700B6C0" w:rsidR="00E53D4D" w:rsidRPr="006F3C10" w:rsidRDefault="00E53D4D" w:rsidP="00E53D4D">
            <w:pPr>
              <w:pStyle w:val="ConsPlusNormal"/>
              <w:jc w:val="center"/>
              <w:rPr>
                <w:rFonts w:ascii="Times New Roman" w:hAnsi="Times New Roman" w:cs="Times New Roman"/>
                <w:b/>
                <w:i/>
                <w:szCs w:val="20"/>
              </w:rPr>
            </w:pPr>
            <w:r w:rsidRPr="006F3C10">
              <w:rPr>
                <w:rFonts w:ascii="Times New Roman" w:hAnsi="Times New Roman" w:cs="Times New Roman"/>
                <w:b/>
                <w:i/>
                <w:szCs w:val="20"/>
              </w:rPr>
              <w:t>4 244 088</w:t>
            </w:r>
          </w:p>
        </w:tc>
        <w:tc>
          <w:tcPr>
            <w:tcW w:w="1079" w:type="pct"/>
          </w:tcPr>
          <w:p w14:paraId="21B2B675" w14:textId="6B48AC75" w:rsidR="00E53D4D" w:rsidRPr="006F3C10" w:rsidRDefault="00E53D4D" w:rsidP="00E53D4D">
            <w:pPr>
              <w:pStyle w:val="ConsPlusNormal"/>
              <w:jc w:val="center"/>
              <w:rPr>
                <w:rFonts w:ascii="Times New Roman" w:hAnsi="Times New Roman" w:cs="Times New Roman"/>
                <w:b/>
                <w:i/>
                <w:szCs w:val="20"/>
              </w:rPr>
            </w:pPr>
            <w:r w:rsidRPr="006F3C10">
              <w:rPr>
                <w:rFonts w:ascii="Times New Roman" w:hAnsi="Times New Roman" w:cs="Times New Roman"/>
                <w:b/>
                <w:i/>
                <w:szCs w:val="20"/>
              </w:rPr>
              <w:t>5 504 804</w:t>
            </w:r>
          </w:p>
        </w:tc>
        <w:tc>
          <w:tcPr>
            <w:tcW w:w="1078" w:type="pct"/>
          </w:tcPr>
          <w:p w14:paraId="310CDBAA" w14:textId="345E70A9" w:rsidR="00E53D4D" w:rsidRPr="006F3C10" w:rsidRDefault="00E53D4D" w:rsidP="00E53D4D">
            <w:pPr>
              <w:pStyle w:val="ConsPlusNormal"/>
              <w:jc w:val="center"/>
              <w:rPr>
                <w:rFonts w:ascii="Times New Roman" w:hAnsi="Times New Roman" w:cs="Times New Roman"/>
                <w:b/>
                <w:i/>
                <w:szCs w:val="20"/>
              </w:rPr>
            </w:pPr>
            <w:r w:rsidRPr="006F3C10">
              <w:rPr>
                <w:rFonts w:ascii="Times New Roman" w:hAnsi="Times New Roman" w:cs="Times New Roman"/>
                <w:b/>
                <w:i/>
                <w:szCs w:val="20"/>
              </w:rPr>
              <w:t>5 929 390</w:t>
            </w:r>
          </w:p>
        </w:tc>
      </w:tr>
    </w:tbl>
    <w:p w14:paraId="51B7ED4B" w14:textId="77777777" w:rsidR="00B77BAE" w:rsidRPr="00D5389E" w:rsidRDefault="00B77BAE" w:rsidP="00B77BAE">
      <w:pPr>
        <w:ind w:left="-284"/>
        <w:jc w:val="both"/>
      </w:pPr>
    </w:p>
    <w:p w14:paraId="77F495E8" w14:textId="77777777" w:rsidR="002A4244" w:rsidRPr="006F3C10" w:rsidRDefault="002A4244" w:rsidP="001F687A">
      <w:pPr>
        <w:jc w:val="both"/>
        <w:rPr>
          <w:b/>
          <w:i/>
        </w:rPr>
      </w:pPr>
      <w:bookmarkStart w:id="3" w:name="_Toc96338348"/>
      <w:bookmarkStart w:id="4" w:name="_Toc96338444"/>
      <w:bookmarkStart w:id="5" w:name="_Toc96338540"/>
      <w:bookmarkStart w:id="6" w:name="_Toc96338814"/>
      <w:r w:rsidRPr="006F3C10">
        <w:rPr>
          <w:b/>
          <w:i/>
        </w:rPr>
        <w:t>Значительное снижение объёма выручки в отчётном периоде по сравнению с аналогичным периодом прошлого года обусловлено окончанием сроков договоров займов выданных.</w:t>
      </w:r>
      <w:bookmarkEnd w:id="3"/>
      <w:bookmarkEnd w:id="4"/>
      <w:bookmarkEnd w:id="5"/>
      <w:bookmarkEnd w:id="6"/>
      <w:r w:rsidRPr="006F3C10">
        <w:rPr>
          <w:b/>
          <w:i/>
        </w:rPr>
        <w:t xml:space="preserve"> Выручка за 2023 год представляет собой проценты по депозитам.</w:t>
      </w:r>
    </w:p>
    <w:p w14:paraId="7D27EACD" w14:textId="0DFF6E5F" w:rsidR="002A4244" w:rsidRPr="00B07DC1" w:rsidRDefault="00B07DC1" w:rsidP="004F6B50">
      <w:pPr>
        <w:pStyle w:val="SubHeading"/>
        <w:jc w:val="center"/>
        <w:rPr>
          <w:b/>
          <w:sz w:val="22"/>
          <w:szCs w:val="22"/>
        </w:rPr>
      </w:pPr>
      <w:r w:rsidRPr="00B07DC1">
        <w:rPr>
          <w:b/>
          <w:sz w:val="22"/>
          <w:szCs w:val="22"/>
        </w:rPr>
        <w:t xml:space="preserve">3.2. </w:t>
      </w:r>
      <w:r w:rsidR="002A4244" w:rsidRPr="00B07DC1">
        <w:rPr>
          <w:b/>
          <w:sz w:val="22"/>
          <w:szCs w:val="22"/>
        </w:rPr>
        <w:t>Общая структура себестоимости эмитента</w:t>
      </w:r>
      <w:r w:rsidR="006F3C10" w:rsidRPr="00B07DC1">
        <w:rPr>
          <w:b/>
          <w:sz w:val="22"/>
          <w:szCs w:val="22"/>
        </w:rPr>
        <w:t>:</w:t>
      </w:r>
    </w:p>
    <w:tbl>
      <w:tblPr>
        <w:tblW w:w="5000" w:type="pct"/>
        <w:tblCellMar>
          <w:left w:w="72" w:type="dxa"/>
          <w:right w:w="72" w:type="dxa"/>
        </w:tblCellMar>
        <w:tblLook w:val="0000" w:firstRow="0" w:lastRow="0" w:firstColumn="0" w:lastColumn="0" w:noHBand="0" w:noVBand="0"/>
      </w:tblPr>
      <w:tblGrid>
        <w:gridCol w:w="5211"/>
        <w:gridCol w:w="1703"/>
        <w:gridCol w:w="1740"/>
        <w:gridCol w:w="1740"/>
      </w:tblGrid>
      <w:tr w:rsidR="002512C2" w:rsidRPr="00D5389E" w14:paraId="114B6FFE" w14:textId="67FFD679" w:rsidTr="006F3C10">
        <w:trPr>
          <w:tblHeader/>
        </w:trPr>
        <w:tc>
          <w:tcPr>
            <w:tcW w:w="2507" w:type="pct"/>
            <w:tcBorders>
              <w:top w:val="double" w:sz="6" w:space="0" w:color="auto"/>
              <w:left w:val="double" w:sz="6" w:space="0" w:color="auto"/>
              <w:bottom w:val="single" w:sz="6" w:space="0" w:color="auto"/>
              <w:right w:val="single" w:sz="6" w:space="0" w:color="auto"/>
            </w:tcBorders>
          </w:tcPr>
          <w:p w14:paraId="47A56549" w14:textId="77777777" w:rsidR="002512C2" w:rsidRPr="00D5389E" w:rsidRDefault="002512C2" w:rsidP="00596A91">
            <w:pPr>
              <w:jc w:val="both"/>
            </w:pPr>
            <w:r w:rsidRPr="00D5389E">
              <w:t>Наименование показателя</w:t>
            </w:r>
          </w:p>
        </w:tc>
        <w:tc>
          <w:tcPr>
            <w:tcW w:w="819" w:type="pct"/>
            <w:tcBorders>
              <w:top w:val="double" w:sz="6" w:space="0" w:color="auto"/>
              <w:left w:val="single" w:sz="6" w:space="0" w:color="auto"/>
              <w:bottom w:val="single" w:sz="6" w:space="0" w:color="auto"/>
              <w:right w:val="single" w:sz="6" w:space="0" w:color="auto"/>
            </w:tcBorders>
          </w:tcPr>
          <w:p w14:paraId="2F2B8926" w14:textId="56448C7D" w:rsidR="002512C2" w:rsidRPr="00EE6853" w:rsidRDefault="002512C2" w:rsidP="00596A91">
            <w:pPr>
              <w:jc w:val="both"/>
              <w:rPr>
                <w:lang w:val="en-US"/>
              </w:rPr>
            </w:pPr>
            <w:r w:rsidRPr="00EE6853">
              <w:t>2023</w:t>
            </w:r>
          </w:p>
        </w:tc>
        <w:tc>
          <w:tcPr>
            <w:tcW w:w="837" w:type="pct"/>
            <w:tcBorders>
              <w:top w:val="double" w:sz="6" w:space="0" w:color="auto"/>
              <w:left w:val="single" w:sz="6" w:space="0" w:color="auto"/>
              <w:bottom w:val="single" w:sz="6" w:space="0" w:color="auto"/>
              <w:right w:val="double" w:sz="6" w:space="0" w:color="auto"/>
            </w:tcBorders>
          </w:tcPr>
          <w:p w14:paraId="3439324C" w14:textId="0ECC2E5F" w:rsidR="002512C2" w:rsidRPr="008F1340" w:rsidRDefault="002512C2" w:rsidP="00596A91">
            <w:pPr>
              <w:jc w:val="both"/>
              <w:rPr>
                <w:lang w:val="en-US"/>
              </w:rPr>
            </w:pPr>
            <w:r w:rsidRPr="008F1340">
              <w:t>2022</w:t>
            </w:r>
          </w:p>
        </w:tc>
        <w:tc>
          <w:tcPr>
            <w:tcW w:w="837" w:type="pct"/>
            <w:tcBorders>
              <w:top w:val="double" w:sz="6" w:space="0" w:color="auto"/>
              <w:left w:val="single" w:sz="6" w:space="0" w:color="auto"/>
              <w:bottom w:val="single" w:sz="6" w:space="0" w:color="auto"/>
              <w:right w:val="double" w:sz="6" w:space="0" w:color="auto"/>
            </w:tcBorders>
          </w:tcPr>
          <w:p w14:paraId="5CD3DD9C" w14:textId="3B093A05" w:rsidR="002512C2" w:rsidRPr="008F1340" w:rsidRDefault="002512C2" w:rsidP="00596A91">
            <w:pPr>
              <w:jc w:val="both"/>
            </w:pPr>
            <w:r w:rsidRPr="008F1340">
              <w:t>2021</w:t>
            </w:r>
          </w:p>
        </w:tc>
      </w:tr>
      <w:tr w:rsidR="002512C2" w:rsidRPr="00D5389E" w14:paraId="7902F0A6" w14:textId="46E99AF7" w:rsidTr="002512C2">
        <w:tc>
          <w:tcPr>
            <w:tcW w:w="2507" w:type="pct"/>
            <w:tcBorders>
              <w:top w:val="single" w:sz="6" w:space="0" w:color="auto"/>
              <w:left w:val="double" w:sz="6" w:space="0" w:color="auto"/>
              <w:bottom w:val="single" w:sz="6" w:space="0" w:color="auto"/>
              <w:right w:val="single" w:sz="6" w:space="0" w:color="auto"/>
            </w:tcBorders>
          </w:tcPr>
          <w:p w14:paraId="161429B5" w14:textId="77777777" w:rsidR="002512C2" w:rsidRPr="00D5389E" w:rsidRDefault="002512C2" w:rsidP="00596A91">
            <w:pPr>
              <w:jc w:val="both"/>
            </w:pPr>
            <w:r w:rsidRPr="00D5389E">
              <w:t>Сырье и материалы, %</w:t>
            </w:r>
          </w:p>
        </w:tc>
        <w:tc>
          <w:tcPr>
            <w:tcW w:w="819" w:type="pct"/>
            <w:tcBorders>
              <w:top w:val="single" w:sz="6" w:space="0" w:color="auto"/>
              <w:left w:val="single" w:sz="6" w:space="0" w:color="auto"/>
              <w:bottom w:val="single" w:sz="6" w:space="0" w:color="auto"/>
              <w:right w:val="single" w:sz="6" w:space="0" w:color="auto"/>
            </w:tcBorders>
          </w:tcPr>
          <w:p w14:paraId="1E90D4B4"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353CCFF6"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0AEAC1C9" w14:textId="79CE736B" w:rsidR="002512C2" w:rsidRPr="006F3C10" w:rsidRDefault="00407594" w:rsidP="00596A91">
            <w:pPr>
              <w:jc w:val="both"/>
              <w:rPr>
                <w:b/>
                <w:i/>
              </w:rPr>
            </w:pPr>
            <w:r w:rsidRPr="006F3C10">
              <w:rPr>
                <w:b/>
                <w:i/>
              </w:rPr>
              <w:t>-</w:t>
            </w:r>
          </w:p>
        </w:tc>
      </w:tr>
      <w:tr w:rsidR="002512C2" w:rsidRPr="00D5389E" w14:paraId="2B193C2B" w14:textId="6B18FD81" w:rsidTr="002512C2">
        <w:tc>
          <w:tcPr>
            <w:tcW w:w="2507" w:type="pct"/>
            <w:tcBorders>
              <w:top w:val="single" w:sz="6" w:space="0" w:color="auto"/>
              <w:left w:val="double" w:sz="6" w:space="0" w:color="auto"/>
              <w:bottom w:val="single" w:sz="6" w:space="0" w:color="auto"/>
              <w:right w:val="single" w:sz="6" w:space="0" w:color="auto"/>
            </w:tcBorders>
          </w:tcPr>
          <w:p w14:paraId="00D6F9CF" w14:textId="77777777" w:rsidR="002512C2" w:rsidRPr="00D5389E" w:rsidRDefault="002512C2" w:rsidP="00596A91">
            <w:pPr>
              <w:jc w:val="both"/>
            </w:pPr>
            <w:r w:rsidRPr="00D5389E">
              <w:t>Приобретенные комплектующие изделия, полуфабрикаты, %</w:t>
            </w:r>
          </w:p>
        </w:tc>
        <w:tc>
          <w:tcPr>
            <w:tcW w:w="819" w:type="pct"/>
            <w:tcBorders>
              <w:top w:val="single" w:sz="6" w:space="0" w:color="auto"/>
              <w:left w:val="single" w:sz="6" w:space="0" w:color="auto"/>
              <w:bottom w:val="single" w:sz="6" w:space="0" w:color="auto"/>
              <w:right w:val="single" w:sz="6" w:space="0" w:color="auto"/>
            </w:tcBorders>
          </w:tcPr>
          <w:p w14:paraId="523A2415"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1B872814"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38C234A0" w14:textId="002EDB77" w:rsidR="002512C2" w:rsidRPr="006F3C10" w:rsidRDefault="00407594" w:rsidP="00596A91">
            <w:pPr>
              <w:jc w:val="both"/>
              <w:rPr>
                <w:b/>
                <w:i/>
              </w:rPr>
            </w:pPr>
            <w:r w:rsidRPr="006F3C10">
              <w:rPr>
                <w:b/>
                <w:i/>
              </w:rPr>
              <w:t>-</w:t>
            </w:r>
          </w:p>
        </w:tc>
      </w:tr>
      <w:tr w:rsidR="002512C2" w:rsidRPr="00D5389E" w14:paraId="7B3FC8D1" w14:textId="0D69B439" w:rsidTr="002512C2">
        <w:tc>
          <w:tcPr>
            <w:tcW w:w="2507" w:type="pct"/>
            <w:tcBorders>
              <w:top w:val="single" w:sz="6" w:space="0" w:color="auto"/>
              <w:left w:val="double" w:sz="6" w:space="0" w:color="auto"/>
              <w:bottom w:val="single" w:sz="6" w:space="0" w:color="auto"/>
              <w:right w:val="single" w:sz="6" w:space="0" w:color="auto"/>
            </w:tcBorders>
          </w:tcPr>
          <w:p w14:paraId="0225FA3E" w14:textId="77777777" w:rsidR="002512C2" w:rsidRPr="00D5389E" w:rsidRDefault="002512C2" w:rsidP="00596A91">
            <w:pPr>
              <w:jc w:val="both"/>
            </w:pPr>
            <w:r w:rsidRPr="00D5389E">
              <w:t>Работы и услуги производственного характера, выполненные сторонними организациями, %</w:t>
            </w:r>
          </w:p>
        </w:tc>
        <w:tc>
          <w:tcPr>
            <w:tcW w:w="819" w:type="pct"/>
            <w:tcBorders>
              <w:top w:val="single" w:sz="6" w:space="0" w:color="auto"/>
              <w:left w:val="single" w:sz="6" w:space="0" w:color="auto"/>
              <w:bottom w:val="single" w:sz="6" w:space="0" w:color="auto"/>
              <w:right w:val="single" w:sz="6" w:space="0" w:color="auto"/>
            </w:tcBorders>
          </w:tcPr>
          <w:p w14:paraId="05FDCDFB"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74D3C52A"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2B3396DF" w14:textId="20A626FE" w:rsidR="002512C2" w:rsidRPr="006F3C10" w:rsidRDefault="00407594" w:rsidP="00596A91">
            <w:pPr>
              <w:jc w:val="both"/>
              <w:rPr>
                <w:b/>
                <w:i/>
              </w:rPr>
            </w:pPr>
            <w:r w:rsidRPr="006F3C10">
              <w:rPr>
                <w:b/>
                <w:i/>
              </w:rPr>
              <w:t>-</w:t>
            </w:r>
          </w:p>
        </w:tc>
      </w:tr>
      <w:tr w:rsidR="002512C2" w:rsidRPr="00D5389E" w14:paraId="21D05B75" w14:textId="752FAA45" w:rsidTr="002512C2">
        <w:tc>
          <w:tcPr>
            <w:tcW w:w="2507" w:type="pct"/>
            <w:tcBorders>
              <w:top w:val="single" w:sz="6" w:space="0" w:color="auto"/>
              <w:left w:val="double" w:sz="6" w:space="0" w:color="auto"/>
              <w:bottom w:val="single" w:sz="6" w:space="0" w:color="auto"/>
              <w:right w:val="single" w:sz="6" w:space="0" w:color="auto"/>
            </w:tcBorders>
          </w:tcPr>
          <w:p w14:paraId="5907F27C" w14:textId="77777777" w:rsidR="002512C2" w:rsidRPr="00D5389E" w:rsidRDefault="002512C2" w:rsidP="00596A91">
            <w:pPr>
              <w:jc w:val="both"/>
            </w:pPr>
            <w:r w:rsidRPr="00D5389E">
              <w:t>Топливо, %</w:t>
            </w:r>
          </w:p>
        </w:tc>
        <w:tc>
          <w:tcPr>
            <w:tcW w:w="819" w:type="pct"/>
            <w:tcBorders>
              <w:top w:val="single" w:sz="6" w:space="0" w:color="auto"/>
              <w:left w:val="single" w:sz="6" w:space="0" w:color="auto"/>
              <w:bottom w:val="single" w:sz="6" w:space="0" w:color="auto"/>
              <w:right w:val="single" w:sz="6" w:space="0" w:color="auto"/>
            </w:tcBorders>
          </w:tcPr>
          <w:p w14:paraId="20EE62EE"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7455FCCE"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40A42149" w14:textId="2132B20C" w:rsidR="002512C2" w:rsidRPr="006F3C10" w:rsidRDefault="00407594" w:rsidP="00596A91">
            <w:pPr>
              <w:jc w:val="both"/>
              <w:rPr>
                <w:b/>
                <w:i/>
              </w:rPr>
            </w:pPr>
            <w:r w:rsidRPr="006F3C10">
              <w:rPr>
                <w:b/>
                <w:i/>
              </w:rPr>
              <w:t>-</w:t>
            </w:r>
          </w:p>
        </w:tc>
      </w:tr>
      <w:tr w:rsidR="002512C2" w:rsidRPr="00D5389E" w14:paraId="0D6A0B51" w14:textId="739DD00C" w:rsidTr="002512C2">
        <w:tc>
          <w:tcPr>
            <w:tcW w:w="2507" w:type="pct"/>
            <w:tcBorders>
              <w:top w:val="single" w:sz="6" w:space="0" w:color="auto"/>
              <w:left w:val="double" w:sz="6" w:space="0" w:color="auto"/>
              <w:bottom w:val="single" w:sz="6" w:space="0" w:color="auto"/>
              <w:right w:val="single" w:sz="6" w:space="0" w:color="auto"/>
            </w:tcBorders>
          </w:tcPr>
          <w:p w14:paraId="51514B47" w14:textId="77777777" w:rsidR="002512C2" w:rsidRPr="00D5389E" w:rsidRDefault="002512C2" w:rsidP="00596A91">
            <w:pPr>
              <w:jc w:val="both"/>
            </w:pPr>
            <w:r w:rsidRPr="00D5389E">
              <w:t>Энергия, %</w:t>
            </w:r>
          </w:p>
        </w:tc>
        <w:tc>
          <w:tcPr>
            <w:tcW w:w="819" w:type="pct"/>
            <w:tcBorders>
              <w:top w:val="single" w:sz="6" w:space="0" w:color="auto"/>
              <w:left w:val="single" w:sz="6" w:space="0" w:color="auto"/>
              <w:bottom w:val="single" w:sz="6" w:space="0" w:color="auto"/>
              <w:right w:val="single" w:sz="6" w:space="0" w:color="auto"/>
            </w:tcBorders>
          </w:tcPr>
          <w:p w14:paraId="36C1D057"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44626283"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08435718" w14:textId="30E53B12" w:rsidR="002512C2" w:rsidRPr="006F3C10" w:rsidRDefault="00407594" w:rsidP="00596A91">
            <w:pPr>
              <w:jc w:val="both"/>
              <w:rPr>
                <w:b/>
                <w:i/>
              </w:rPr>
            </w:pPr>
            <w:r w:rsidRPr="006F3C10">
              <w:rPr>
                <w:b/>
                <w:i/>
              </w:rPr>
              <w:t>-</w:t>
            </w:r>
          </w:p>
        </w:tc>
      </w:tr>
      <w:tr w:rsidR="002512C2" w:rsidRPr="00D5389E" w14:paraId="787D7CAF" w14:textId="1A70FB94" w:rsidTr="002512C2">
        <w:tc>
          <w:tcPr>
            <w:tcW w:w="2507" w:type="pct"/>
            <w:tcBorders>
              <w:top w:val="single" w:sz="6" w:space="0" w:color="auto"/>
              <w:left w:val="double" w:sz="6" w:space="0" w:color="auto"/>
              <w:bottom w:val="single" w:sz="6" w:space="0" w:color="auto"/>
              <w:right w:val="single" w:sz="6" w:space="0" w:color="auto"/>
            </w:tcBorders>
          </w:tcPr>
          <w:p w14:paraId="3840E018" w14:textId="77777777" w:rsidR="002512C2" w:rsidRPr="00D5389E" w:rsidRDefault="002512C2" w:rsidP="00596A91">
            <w:pPr>
              <w:jc w:val="both"/>
            </w:pPr>
            <w:r w:rsidRPr="00D5389E">
              <w:t>Затраты на оплату труда, %</w:t>
            </w:r>
          </w:p>
        </w:tc>
        <w:tc>
          <w:tcPr>
            <w:tcW w:w="819" w:type="pct"/>
            <w:tcBorders>
              <w:top w:val="single" w:sz="6" w:space="0" w:color="auto"/>
              <w:left w:val="single" w:sz="6" w:space="0" w:color="auto"/>
              <w:bottom w:val="single" w:sz="6" w:space="0" w:color="auto"/>
              <w:right w:val="single" w:sz="6" w:space="0" w:color="auto"/>
            </w:tcBorders>
          </w:tcPr>
          <w:p w14:paraId="2BE1BF01" w14:textId="77777777" w:rsidR="002512C2" w:rsidRPr="006F3C10" w:rsidRDefault="002512C2" w:rsidP="00596A91">
            <w:pPr>
              <w:jc w:val="both"/>
              <w:rPr>
                <w:b/>
                <w:i/>
              </w:rPr>
            </w:pPr>
            <w:r w:rsidRPr="006F3C10">
              <w:rPr>
                <w:b/>
                <w:i/>
              </w:rPr>
              <w:t>0.06</w:t>
            </w:r>
          </w:p>
        </w:tc>
        <w:tc>
          <w:tcPr>
            <w:tcW w:w="837" w:type="pct"/>
            <w:tcBorders>
              <w:top w:val="single" w:sz="6" w:space="0" w:color="auto"/>
              <w:left w:val="single" w:sz="6" w:space="0" w:color="auto"/>
              <w:bottom w:val="single" w:sz="6" w:space="0" w:color="auto"/>
              <w:right w:val="double" w:sz="6" w:space="0" w:color="auto"/>
            </w:tcBorders>
          </w:tcPr>
          <w:p w14:paraId="0E694B61" w14:textId="77777777" w:rsidR="002512C2" w:rsidRPr="006F3C10" w:rsidRDefault="002512C2" w:rsidP="00596A91">
            <w:pPr>
              <w:jc w:val="both"/>
              <w:rPr>
                <w:b/>
                <w:i/>
                <w:lang w:val="en-US"/>
              </w:rPr>
            </w:pPr>
            <w:r w:rsidRPr="006F3C10">
              <w:rPr>
                <w:b/>
                <w:i/>
                <w:lang w:val="en-US"/>
              </w:rPr>
              <w:t>0.06</w:t>
            </w:r>
          </w:p>
        </w:tc>
        <w:tc>
          <w:tcPr>
            <w:tcW w:w="837" w:type="pct"/>
            <w:tcBorders>
              <w:top w:val="single" w:sz="6" w:space="0" w:color="auto"/>
              <w:left w:val="single" w:sz="6" w:space="0" w:color="auto"/>
              <w:bottom w:val="single" w:sz="6" w:space="0" w:color="auto"/>
              <w:right w:val="double" w:sz="6" w:space="0" w:color="auto"/>
            </w:tcBorders>
          </w:tcPr>
          <w:p w14:paraId="7B7017A8" w14:textId="4B83EB3E" w:rsidR="002512C2" w:rsidRPr="006F3C10" w:rsidRDefault="008F1340" w:rsidP="00596A91">
            <w:pPr>
              <w:jc w:val="both"/>
              <w:rPr>
                <w:b/>
                <w:i/>
              </w:rPr>
            </w:pPr>
            <w:r w:rsidRPr="006F3C10">
              <w:rPr>
                <w:b/>
                <w:i/>
                <w:lang w:val="en-US"/>
              </w:rPr>
              <w:t>0.0</w:t>
            </w:r>
            <w:r w:rsidRPr="006F3C10">
              <w:rPr>
                <w:b/>
                <w:i/>
              </w:rPr>
              <w:t>7</w:t>
            </w:r>
          </w:p>
        </w:tc>
      </w:tr>
      <w:tr w:rsidR="002512C2" w:rsidRPr="00D5389E" w14:paraId="3A5E554A" w14:textId="16487F65" w:rsidTr="002512C2">
        <w:tc>
          <w:tcPr>
            <w:tcW w:w="2507" w:type="pct"/>
            <w:tcBorders>
              <w:top w:val="single" w:sz="6" w:space="0" w:color="auto"/>
              <w:left w:val="double" w:sz="6" w:space="0" w:color="auto"/>
              <w:bottom w:val="single" w:sz="6" w:space="0" w:color="auto"/>
              <w:right w:val="single" w:sz="6" w:space="0" w:color="auto"/>
            </w:tcBorders>
          </w:tcPr>
          <w:p w14:paraId="01254B7A" w14:textId="77777777" w:rsidR="002512C2" w:rsidRPr="00D5389E" w:rsidRDefault="002512C2" w:rsidP="00596A91">
            <w:pPr>
              <w:jc w:val="both"/>
            </w:pPr>
            <w:r w:rsidRPr="00D5389E">
              <w:t>Проценты по кредитам, %</w:t>
            </w:r>
          </w:p>
        </w:tc>
        <w:tc>
          <w:tcPr>
            <w:tcW w:w="819" w:type="pct"/>
            <w:tcBorders>
              <w:top w:val="single" w:sz="6" w:space="0" w:color="auto"/>
              <w:left w:val="single" w:sz="6" w:space="0" w:color="auto"/>
              <w:bottom w:val="single" w:sz="6" w:space="0" w:color="auto"/>
              <w:right w:val="single" w:sz="6" w:space="0" w:color="auto"/>
            </w:tcBorders>
          </w:tcPr>
          <w:p w14:paraId="0ECD2B37" w14:textId="77777777" w:rsidR="002512C2" w:rsidRPr="006F3C10" w:rsidRDefault="002512C2" w:rsidP="00596A91">
            <w:pPr>
              <w:jc w:val="both"/>
              <w:rPr>
                <w:b/>
                <w:i/>
              </w:rPr>
            </w:pPr>
            <w:r w:rsidRPr="006F3C10">
              <w:rPr>
                <w:b/>
                <w:i/>
              </w:rPr>
              <w:t>99.68</w:t>
            </w:r>
          </w:p>
        </w:tc>
        <w:tc>
          <w:tcPr>
            <w:tcW w:w="837" w:type="pct"/>
            <w:tcBorders>
              <w:top w:val="single" w:sz="6" w:space="0" w:color="auto"/>
              <w:left w:val="single" w:sz="6" w:space="0" w:color="auto"/>
              <w:bottom w:val="single" w:sz="6" w:space="0" w:color="auto"/>
              <w:right w:val="double" w:sz="6" w:space="0" w:color="auto"/>
            </w:tcBorders>
          </w:tcPr>
          <w:p w14:paraId="6FFF90AE" w14:textId="77777777" w:rsidR="002512C2" w:rsidRPr="006F3C10" w:rsidRDefault="002512C2" w:rsidP="00596A91">
            <w:pPr>
              <w:jc w:val="both"/>
              <w:rPr>
                <w:b/>
                <w:i/>
                <w:lang w:val="en-US"/>
              </w:rPr>
            </w:pPr>
            <w:r w:rsidRPr="006F3C10">
              <w:rPr>
                <w:b/>
                <w:i/>
                <w:lang w:val="en-US"/>
              </w:rPr>
              <w:t>99.</w:t>
            </w:r>
            <w:r w:rsidRPr="006F3C10">
              <w:rPr>
                <w:b/>
                <w:i/>
              </w:rPr>
              <w:t>42</w:t>
            </w:r>
          </w:p>
        </w:tc>
        <w:tc>
          <w:tcPr>
            <w:tcW w:w="837" w:type="pct"/>
            <w:tcBorders>
              <w:top w:val="single" w:sz="6" w:space="0" w:color="auto"/>
              <w:left w:val="single" w:sz="6" w:space="0" w:color="auto"/>
              <w:bottom w:val="single" w:sz="6" w:space="0" w:color="auto"/>
              <w:right w:val="double" w:sz="6" w:space="0" w:color="auto"/>
            </w:tcBorders>
          </w:tcPr>
          <w:p w14:paraId="764C06CD" w14:textId="4A38EECB" w:rsidR="002512C2" w:rsidRPr="006F3C10" w:rsidRDefault="008F1340" w:rsidP="00596A91">
            <w:pPr>
              <w:jc w:val="both"/>
              <w:rPr>
                <w:b/>
                <w:i/>
              </w:rPr>
            </w:pPr>
            <w:r w:rsidRPr="006F3C10">
              <w:rPr>
                <w:b/>
                <w:i/>
                <w:lang w:val="en-US"/>
              </w:rPr>
              <w:t>99.</w:t>
            </w:r>
            <w:r w:rsidRPr="006F3C10">
              <w:rPr>
                <w:b/>
                <w:i/>
              </w:rPr>
              <w:t>07</w:t>
            </w:r>
          </w:p>
        </w:tc>
      </w:tr>
      <w:tr w:rsidR="002512C2" w:rsidRPr="00D5389E" w14:paraId="3727017C" w14:textId="5DADE0C1" w:rsidTr="002512C2">
        <w:tc>
          <w:tcPr>
            <w:tcW w:w="2507" w:type="pct"/>
            <w:tcBorders>
              <w:top w:val="single" w:sz="6" w:space="0" w:color="auto"/>
              <w:left w:val="double" w:sz="6" w:space="0" w:color="auto"/>
              <w:bottom w:val="single" w:sz="6" w:space="0" w:color="auto"/>
              <w:right w:val="single" w:sz="6" w:space="0" w:color="auto"/>
            </w:tcBorders>
          </w:tcPr>
          <w:p w14:paraId="4FFAD3AB" w14:textId="77777777" w:rsidR="002512C2" w:rsidRPr="00D5389E" w:rsidRDefault="002512C2" w:rsidP="00596A91">
            <w:pPr>
              <w:jc w:val="both"/>
            </w:pPr>
            <w:r w:rsidRPr="00D5389E">
              <w:t>Арендная плата, %</w:t>
            </w:r>
          </w:p>
        </w:tc>
        <w:tc>
          <w:tcPr>
            <w:tcW w:w="819" w:type="pct"/>
            <w:tcBorders>
              <w:top w:val="single" w:sz="6" w:space="0" w:color="auto"/>
              <w:left w:val="single" w:sz="6" w:space="0" w:color="auto"/>
              <w:bottom w:val="single" w:sz="6" w:space="0" w:color="auto"/>
              <w:right w:val="single" w:sz="6" w:space="0" w:color="auto"/>
            </w:tcBorders>
          </w:tcPr>
          <w:p w14:paraId="64973484" w14:textId="77777777" w:rsidR="002512C2" w:rsidRPr="006F3C10" w:rsidRDefault="002512C2" w:rsidP="00596A91">
            <w:pPr>
              <w:jc w:val="both"/>
              <w:rPr>
                <w:b/>
                <w:i/>
              </w:rPr>
            </w:pPr>
            <w:r w:rsidRPr="006F3C10">
              <w:rPr>
                <w:b/>
                <w:i/>
              </w:rPr>
              <w:t>0.05</w:t>
            </w:r>
          </w:p>
        </w:tc>
        <w:tc>
          <w:tcPr>
            <w:tcW w:w="837" w:type="pct"/>
            <w:tcBorders>
              <w:top w:val="single" w:sz="6" w:space="0" w:color="auto"/>
              <w:left w:val="single" w:sz="6" w:space="0" w:color="auto"/>
              <w:bottom w:val="single" w:sz="6" w:space="0" w:color="auto"/>
              <w:right w:val="double" w:sz="6" w:space="0" w:color="auto"/>
            </w:tcBorders>
          </w:tcPr>
          <w:p w14:paraId="17C68D4A" w14:textId="77777777" w:rsidR="002512C2" w:rsidRPr="006F3C10" w:rsidRDefault="002512C2" w:rsidP="00596A91">
            <w:pPr>
              <w:jc w:val="both"/>
              <w:rPr>
                <w:b/>
                <w:i/>
              </w:rPr>
            </w:pPr>
            <w:r w:rsidRPr="006F3C10">
              <w:rPr>
                <w:b/>
                <w:i/>
                <w:lang w:val="en-US"/>
              </w:rPr>
              <w:t>0.0</w:t>
            </w:r>
            <w:r w:rsidRPr="006F3C10">
              <w:rPr>
                <w:b/>
                <w:i/>
              </w:rPr>
              <w:t>4</w:t>
            </w:r>
          </w:p>
        </w:tc>
        <w:tc>
          <w:tcPr>
            <w:tcW w:w="837" w:type="pct"/>
            <w:tcBorders>
              <w:top w:val="single" w:sz="6" w:space="0" w:color="auto"/>
              <w:left w:val="single" w:sz="6" w:space="0" w:color="auto"/>
              <w:bottom w:val="single" w:sz="6" w:space="0" w:color="auto"/>
              <w:right w:val="double" w:sz="6" w:space="0" w:color="auto"/>
            </w:tcBorders>
          </w:tcPr>
          <w:p w14:paraId="729436BC" w14:textId="32214C9C" w:rsidR="002512C2" w:rsidRPr="006F3C10" w:rsidRDefault="008F1340" w:rsidP="00596A91">
            <w:pPr>
              <w:jc w:val="both"/>
              <w:rPr>
                <w:b/>
                <w:i/>
                <w:lang w:val="en-US"/>
              </w:rPr>
            </w:pPr>
            <w:r w:rsidRPr="006F3C10">
              <w:rPr>
                <w:b/>
                <w:i/>
              </w:rPr>
              <w:t>0.06</w:t>
            </w:r>
          </w:p>
        </w:tc>
      </w:tr>
      <w:tr w:rsidR="002512C2" w:rsidRPr="00D5389E" w14:paraId="6D5308A8" w14:textId="3B04B658" w:rsidTr="002512C2">
        <w:tc>
          <w:tcPr>
            <w:tcW w:w="2507" w:type="pct"/>
            <w:tcBorders>
              <w:top w:val="single" w:sz="6" w:space="0" w:color="auto"/>
              <w:left w:val="double" w:sz="6" w:space="0" w:color="auto"/>
              <w:bottom w:val="single" w:sz="6" w:space="0" w:color="auto"/>
              <w:right w:val="single" w:sz="6" w:space="0" w:color="auto"/>
            </w:tcBorders>
          </w:tcPr>
          <w:p w14:paraId="6E70D553" w14:textId="77777777" w:rsidR="002512C2" w:rsidRPr="00D5389E" w:rsidRDefault="002512C2" w:rsidP="00596A91">
            <w:pPr>
              <w:jc w:val="both"/>
            </w:pPr>
            <w:r w:rsidRPr="00D5389E">
              <w:t>Отчисления на социальные нужды, %</w:t>
            </w:r>
          </w:p>
        </w:tc>
        <w:tc>
          <w:tcPr>
            <w:tcW w:w="819" w:type="pct"/>
            <w:tcBorders>
              <w:top w:val="single" w:sz="6" w:space="0" w:color="auto"/>
              <w:left w:val="single" w:sz="6" w:space="0" w:color="auto"/>
              <w:bottom w:val="single" w:sz="6" w:space="0" w:color="auto"/>
              <w:right w:val="single" w:sz="6" w:space="0" w:color="auto"/>
            </w:tcBorders>
          </w:tcPr>
          <w:p w14:paraId="79B4C4D7"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26F05754"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3ED4251C" w14:textId="6517EAAB" w:rsidR="002512C2" w:rsidRPr="006F3C10" w:rsidRDefault="00407594" w:rsidP="00596A91">
            <w:pPr>
              <w:jc w:val="both"/>
              <w:rPr>
                <w:b/>
                <w:i/>
              </w:rPr>
            </w:pPr>
            <w:r w:rsidRPr="006F3C10">
              <w:rPr>
                <w:b/>
                <w:i/>
              </w:rPr>
              <w:t>-</w:t>
            </w:r>
          </w:p>
        </w:tc>
      </w:tr>
      <w:tr w:rsidR="002512C2" w:rsidRPr="00D5389E" w14:paraId="5980BB7D" w14:textId="6BA08686" w:rsidTr="002512C2">
        <w:tc>
          <w:tcPr>
            <w:tcW w:w="2507" w:type="pct"/>
            <w:tcBorders>
              <w:top w:val="single" w:sz="6" w:space="0" w:color="auto"/>
              <w:left w:val="double" w:sz="6" w:space="0" w:color="auto"/>
              <w:bottom w:val="single" w:sz="6" w:space="0" w:color="auto"/>
              <w:right w:val="single" w:sz="6" w:space="0" w:color="auto"/>
            </w:tcBorders>
          </w:tcPr>
          <w:p w14:paraId="257FF863" w14:textId="77777777" w:rsidR="002512C2" w:rsidRPr="00D5389E" w:rsidRDefault="002512C2" w:rsidP="00596A91">
            <w:pPr>
              <w:jc w:val="both"/>
            </w:pPr>
            <w:r w:rsidRPr="00D5389E">
              <w:t>Амортизация основных средств, %</w:t>
            </w:r>
          </w:p>
        </w:tc>
        <w:tc>
          <w:tcPr>
            <w:tcW w:w="819" w:type="pct"/>
            <w:tcBorders>
              <w:top w:val="single" w:sz="6" w:space="0" w:color="auto"/>
              <w:left w:val="single" w:sz="6" w:space="0" w:color="auto"/>
              <w:bottom w:val="single" w:sz="6" w:space="0" w:color="auto"/>
              <w:right w:val="single" w:sz="6" w:space="0" w:color="auto"/>
            </w:tcBorders>
          </w:tcPr>
          <w:p w14:paraId="3968C269"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02F704D3"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0855BD57" w14:textId="619286C0" w:rsidR="002512C2" w:rsidRPr="006F3C10" w:rsidRDefault="00407594" w:rsidP="00596A91">
            <w:pPr>
              <w:jc w:val="both"/>
              <w:rPr>
                <w:b/>
                <w:i/>
              </w:rPr>
            </w:pPr>
            <w:r w:rsidRPr="006F3C10">
              <w:rPr>
                <w:b/>
                <w:i/>
              </w:rPr>
              <w:t>-</w:t>
            </w:r>
          </w:p>
        </w:tc>
      </w:tr>
      <w:tr w:rsidR="002512C2" w:rsidRPr="00D5389E" w14:paraId="0006DCC1" w14:textId="5C4D736B" w:rsidTr="002512C2">
        <w:tc>
          <w:tcPr>
            <w:tcW w:w="2507" w:type="pct"/>
            <w:tcBorders>
              <w:top w:val="single" w:sz="6" w:space="0" w:color="auto"/>
              <w:left w:val="double" w:sz="6" w:space="0" w:color="auto"/>
              <w:bottom w:val="single" w:sz="6" w:space="0" w:color="auto"/>
              <w:right w:val="single" w:sz="6" w:space="0" w:color="auto"/>
            </w:tcBorders>
          </w:tcPr>
          <w:p w14:paraId="3AA58407" w14:textId="77777777" w:rsidR="002512C2" w:rsidRPr="00D5389E" w:rsidRDefault="002512C2" w:rsidP="00596A91">
            <w:pPr>
              <w:jc w:val="both"/>
            </w:pPr>
            <w:r w:rsidRPr="00D5389E">
              <w:t>Налоги, включаемые в себестоимость продукции, %</w:t>
            </w:r>
          </w:p>
        </w:tc>
        <w:tc>
          <w:tcPr>
            <w:tcW w:w="819" w:type="pct"/>
            <w:tcBorders>
              <w:top w:val="single" w:sz="6" w:space="0" w:color="auto"/>
              <w:left w:val="single" w:sz="6" w:space="0" w:color="auto"/>
              <w:bottom w:val="single" w:sz="6" w:space="0" w:color="auto"/>
              <w:right w:val="single" w:sz="6" w:space="0" w:color="auto"/>
            </w:tcBorders>
          </w:tcPr>
          <w:p w14:paraId="7AC6D44F"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38CBDDC0"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2251AE48" w14:textId="4D484B6A" w:rsidR="002512C2" w:rsidRPr="006F3C10" w:rsidRDefault="00407594" w:rsidP="00596A91">
            <w:pPr>
              <w:jc w:val="both"/>
              <w:rPr>
                <w:b/>
                <w:i/>
              </w:rPr>
            </w:pPr>
            <w:r w:rsidRPr="006F3C10">
              <w:rPr>
                <w:b/>
                <w:i/>
              </w:rPr>
              <w:t>-</w:t>
            </w:r>
          </w:p>
        </w:tc>
      </w:tr>
      <w:tr w:rsidR="002512C2" w:rsidRPr="00D5389E" w14:paraId="5EB32F23" w14:textId="3297D4E7" w:rsidTr="002512C2">
        <w:tc>
          <w:tcPr>
            <w:tcW w:w="2507" w:type="pct"/>
            <w:tcBorders>
              <w:top w:val="single" w:sz="6" w:space="0" w:color="auto"/>
              <w:left w:val="double" w:sz="6" w:space="0" w:color="auto"/>
              <w:bottom w:val="single" w:sz="6" w:space="0" w:color="auto"/>
              <w:right w:val="single" w:sz="6" w:space="0" w:color="auto"/>
            </w:tcBorders>
          </w:tcPr>
          <w:p w14:paraId="224F8EF7" w14:textId="77777777" w:rsidR="002512C2" w:rsidRPr="00D5389E" w:rsidRDefault="002512C2" w:rsidP="00596A91">
            <w:pPr>
              <w:jc w:val="both"/>
            </w:pPr>
            <w:r w:rsidRPr="00D5389E">
              <w:t>Прочие затраты, %</w:t>
            </w:r>
          </w:p>
        </w:tc>
        <w:tc>
          <w:tcPr>
            <w:tcW w:w="819" w:type="pct"/>
            <w:tcBorders>
              <w:top w:val="single" w:sz="6" w:space="0" w:color="auto"/>
              <w:left w:val="single" w:sz="6" w:space="0" w:color="auto"/>
              <w:bottom w:val="single" w:sz="6" w:space="0" w:color="auto"/>
              <w:right w:val="single" w:sz="6" w:space="0" w:color="auto"/>
            </w:tcBorders>
          </w:tcPr>
          <w:p w14:paraId="612C4BB5" w14:textId="77777777" w:rsidR="002512C2" w:rsidRPr="006F3C10" w:rsidRDefault="002512C2" w:rsidP="00596A91">
            <w:pPr>
              <w:jc w:val="both"/>
              <w:rPr>
                <w:b/>
                <w:i/>
              </w:rPr>
            </w:pPr>
            <w:r w:rsidRPr="006F3C10">
              <w:rPr>
                <w:b/>
                <w:i/>
              </w:rPr>
              <w:t>0.04</w:t>
            </w:r>
          </w:p>
        </w:tc>
        <w:tc>
          <w:tcPr>
            <w:tcW w:w="837" w:type="pct"/>
            <w:tcBorders>
              <w:top w:val="single" w:sz="6" w:space="0" w:color="auto"/>
              <w:left w:val="single" w:sz="6" w:space="0" w:color="auto"/>
              <w:bottom w:val="single" w:sz="6" w:space="0" w:color="auto"/>
              <w:right w:val="double" w:sz="6" w:space="0" w:color="auto"/>
            </w:tcBorders>
          </w:tcPr>
          <w:p w14:paraId="7B614C25" w14:textId="77777777" w:rsidR="002512C2" w:rsidRPr="006F3C10" w:rsidRDefault="002512C2" w:rsidP="00596A91">
            <w:pPr>
              <w:jc w:val="both"/>
              <w:rPr>
                <w:b/>
                <w:i/>
              </w:rPr>
            </w:pPr>
            <w:r w:rsidRPr="006F3C10">
              <w:rPr>
                <w:b/>
                <w:i/>
                <w:lang w:val="en-US"/>
              </w:rPr>
              <w:t>0.0</w:t>
            </w:r>
            <w:r w:rsidRPr="006F3C10">
              <w:rPr>
                <w:b/>
                <w:i/>
              </w:rPr>
              <w:t>4</w:t>
            </w:r>
          </w:p>
        </w:tc>
        <w:tc>
          <w:tcPr>
            <w:tcW w:w="837" w:type="pct"/>
            <w:tcBorders>
              <w:top w:val="single" w:sz="6" w:space="0" w:color="auto"/>
              <w:left w:val="single" w:sz="6" w:space="0" w:color="auto"/>
              <w:bottom w:val="single" w:sz="6" w:space="0" w:color="auto"/>
              <w:right w:val="double" w:sz="6" w:space="0" w:color="auto"/>
            </w:tcBorders>
          </w:tcPr>
          <w:p w14:paraId="05CF661B" w14:textId="17E2A073" w:rsidR="002512C2" w:rsidRPr="006F3C10" w:rsidRDefault="008F1340" w:rsidP="00596A91">
            <w:pPr>
              <w:jc w:val="both"/>
              <w:rPr>
                <w:b/>
                <w:i/>
                <w:lang w:val="en-US"/>
              </w:rPr>
            </w:pPr>
            <w:r w:rsidRPr="006F3C10">
              <w:rPr>
                <w:b/>
                <w:i/>
              </w:rPr>
              <w:t>0.80</w:t>
            </w:r>
          </w:p>
        </w:tc>
      </w:tr>
      <w:tr w:rsidR="002512C2" w:rsidRPr="00D5389E" w14:paraId="5ECB8081" w14:textId="008CD887" w:rsidTr="002512C2">
        <w:tc>
          <w:tcPr>
            <w:tcW w:w="2507" w:type="pct"/>
            <w:tcBorders>
              <w:top w:val="single" w:sz="6" w:space="0" w:color="auto"/>
              <w:left w:val="double" w:sz="6" w:space="0" w:color="auto"/>
              <w:bottom w:val="single" w:sz="6" w:space="0" w:color="auto"/>
              <w:right w:val="single" w:sz="6" w:space="0" w:color="auto"/>
            </w:tcBorders>
          </w:tcPr>
          <w:p w14:paraId="1B2429C2" w14:textId="77777777" w:rsidR="002512C2" w:rsidRPr="00D5389E" w:rsidRDefault="002512C2" w:rsidP="00596A91">
            <w:pPr>
              <w:jc w:val="both"/>
            </w:pPr>
            <w:r w:rsidRPr="00D5389E">
              <w:lastRenderedPageBreak/>
              <w:t xml:space="preserve">  амортизация по нематериальным активам, %</w:t>
            </w:r>
          </w:p>
        </w:tc>
        <w:tc>
          <w:tcPr>
            <w:tcW w:w="819" w:type="pct"/>
            <w:tcBorders>
              <w:top w:val="single" w:sz="6" w:space="0" w:color="auto"/>
              <w:left w:val="single" w:sz="6" w:space="0" w:color="auto"/>
              <w:bottom w:val="single" w:sz="6" w:space="0" w:color="auto"/>
              <w:right w:val="single" w:sz="6" w:space="0" w:color="auto"/>
            </w:tcBorders>
          </w:tcPr>
          <w:p w14:paraId="5562BB5C"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47BAA7FD"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365B67CB" w14:textId="69820F47" w:rsidR="002512C2" w:rsidRPr="006F3C10" w:rsidRDefault="00407594" w:rsidP="00596A91">
            <w:pPr>
              <w:jc w:val="both"/>
              <w:rPr>
                <w:b/>
                <w:i/>
              </w:rPr>
            </w:pPr>
            <w:r w:rsidRPr="006F3C10">
              <w:rPr>
                <w:b/>
                <w:i/>
              </w:rPr>
              <w:t>-</w:t>
            </w:r>
          </w:p>
        </w:tc>
      </w:tr>
      <w:tr w:rsidR="002512C2" w:rsidRPr="00D5389E" w14:paraId="38E05BFA" w14:textId="6BA9ABCA" w:rsidTr="002512C2">
        <w:tc>
          <w:tcPr>
            <w:tcW w:w="2507" w:type="pct"/>
            <w:tcBorders>
              <w:top w:val="single" w:sz="6" w:space="0" w:color="auto"/>
              <w:left w:val="double" w:sz="6" w:space="0" w:color="auto"/>
              <w:bottom w:val="single" w:sz="6" w:space="0" w:color="auto"/>
              <w:right w:val="single" w:sz="6" w:space="0" w:color="auto"/>
            </w:tcBorders>
          </w:tcPr>
          <w:p w14:paraId="400DCEC6" w14:textId="77777777" w:rsidR="002512C2" w:rsidRPr="00D5389E" w:rsidRDefault="002512C2" w:rsidP="00596A91">
            <w:pPr>
              <w:jc w:val="both"/>
            </w:pPr>
            <w:r w:rsidRPr="00D5389E">
              <w:t xml:space="preserve">  вознаграждения за рационализаторские предложения, %</w:t>
            </w:r>
          </w:p>
        </w:tc>
        <w:tc>
          <w:tcPr>
            <w:tcW w:w="819" w:type="pct"/>
            <w:tcBorders>
              <w:top w:val="single" w:sz="6" w:space="0" w:color="auto"/>
              <w:left w:val="single" w:sz="6" w:space="0" w:color="auto"/>
              <w:bottom w:val="single" w:sz="6" w:space="0" w:color="auto"/>
              <w:right w:val="single" w:sz="6" w:space="0" w:color="auto"/>
            </w:tcBorders>
          </w:tcPr>
          <w:p w14:paraId="6CC249B5"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7492A567"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67304FE7" w14:textId="3D90F49B" w:rsidR="002512C2" w:rsidRPr="006F3C10" w:rsidRDefault="00407594" w:rsidP="00596A91">
            <w:pPr>
              <w:jc w:val="both"/>
              <w:rPr>
                <w:b/>
                <w:i/>
              </w:rPr>
            </w:pPr>
            <w:r w:rsidRPr="006F3C10">
              <w:rPr>
                <w:b/>
                <w:i/>
              </w:rPr>
              <w:t>-</w:t>
            </w:r>
          </w:p>
        </w:tc>
      </w:tr>
      <w:tr w:rsidR="002512C2" w:rsidRPr="00D5389E" w14:paraId="0A1B50D6" w14:textId="437643EF" w:rsidTr="002512C2">
        <w:tc>
          <w:tcPr>
            <w:tcW w:w="2507" w:type="pct"/>
            <w:tcBorders>
              <w:top w:val="single" w:sz="6" w:space="0" w:color="auto"/>
              <w:left w:val="double" w:sz="6" w:space="0" w:color="auto"/>
              <w:bottom w:val="single" w:sz="6" w:space="0" w:color="auto"/>
              <w:right w:val="single" w:sz="6" w:space="0" w:color="auto"/>
            </w:tcBorders>
          </w:tcPr>
          <w:p w14:paraId="12354D88" w14:textId="77777777" w:rsidR="002512C2" w:rsidRPr="00D5389E" w:rsidRDefault="002512C2" w:rsidP="00596A91">
            <w:pPr>
              <w:jc w:val="both"/>
            </w:pPr>
            <w:r w:rsidRPr="00D5389E">
              <w:t xml:space="preserve">  обязательные страховые платежи, %</w:t>
            </w:r>
          </w:p>
        </w:tc>
        <w:tc>
          <w:tcPr>
            <w:tcW w:w="819" w:type="pct"/>
            <w:tcBorders>
              <w:top w:val="single" w:sz="6" w:space="0" w:color="auto"/>
              <w:left w:val="single" w:sz="6" w:space="0" w:color="auto"/>
              <w:bottom w:val="single" w:sz="6" w:space="0" w:color="auto"/>
              <w:right w:val="single" w:sz="6" w:space="0" w:color="auto"/>
            </w:tcBorders>
          </w:tcPr>
          <w:p w14:paraId="21EC075E" w14:textId="77777777" w:rsidR="002512C2" w:rsidRPr="006F3C10" w:rsidRDefault="002512C2" w:rsidP="00596A91">
            <w:pPr>
              <w:jc w:val="both"/>
              <w:rPr>
                <w:b/>
                <w:i/>
              </w:rPr>
            </w:pPr>
            <w:r w:rsidRPr="006F3C10">
              <w:rPr>
                <w:b/>
                <w:i/>
              </w:rPr>
              <w:t>0.01</w:t>
            </w:r>
          </w:p>
        </w:tc>
        <w:tc>
          <w:tcPr>
            <w:tcW w:w="837" w:type="pct"/>
            <w:tcBorders>
              <w:top w:val="single" w:sz="6" w:space="0" w:color="auto"/>
              <w:left w:val="single" w:sz="6" w:space="0" w:color="auto"/>
              <w:bottom w:val="single" w:sz="6" w:space="0" w:color="auto"/>
              <w:right w:val="double" w:sz="6" w:space="0" w:color="auto"/>
            </w:tcBorders>
          </w:tcPr>
          <w:p w14:paraId="76E35406" w14:textId="77777777" w:rsidR="002512C2" w:rsidRPr="006F3C10" w:rsidRDefault="002512C2" w:rsidP="00596A91">
            <w:pPr>
              <w:jc w:val="both"/>
              <w:rPr>
                <w:b/>
                <w:i/>
              </w:rPr>
            </w:pPr>
            <w:r w:rsidRPr="006F3C10">
              <w:rPr>
                <w:b/>
                <w:i/>
                <w:lang w:val="en-US"/>
              </w:rPr>
              <w:t>0.0</w:t>
            </w:r>
            <w:r w:rsidRPr="006F3C10">
              <w:rPr>
                <w:b/>
                <w:i/>
              </w:rPr>
              <w:t>2</w:t>
            </w:r>
          </w:p>
        </w:tc>
        <w:tc>
          <w:tcPr>
            <w:tcW w:w="837" w:type="pct"/>
            <w:tcBorders>
              <w:top w:val="single" w:sz="6" w:space="0" w:color="auto"/>
              <w:left w:val="single" w:sz="6" w:space="0" w:color="auto"/>
              <w:bottom w:val="single" w:sz="6" w:space="0" w:color="auto"/>
              <w:right w:val="double" w:sz="6" w:space="0" w:color="auto"/>
            </w:tcBorders>
          </w:tcPr>
          <w:p w14:paraId="2B18FAB2" w14:textId="609A4780" w:rsidR="002512C2" w:rsidRPr="006F3C10" w:rsidRDefault="008F1340" w:rsidP="00596A91">
            <w:pPr>
              <w:jc w:val="both"/>
              <w:rPr>
                <w:b/>
                <w:i/>
                <w:lang w:val="en-US"/>
              </w:rPr>
            </w:pPr>
            <w:r w:rsidRPr="006F3C10">
              <w:rPr>
                <w:b/>
                <w:i/>
              </w:rPr>
              <w:t>0.02</w:t>
            </w:r>
          </w:p>
        </w:tc>
      </w:tr>
      <w:tr w:rsidR="002512C2" w:rsidRPr="00D5389E" w14:paraId="481D5649" w14:textId="78565474" w:rsidTr="002512C2">
        <w:tc>
          <w:tcPr>
            <w:tcW w:w="2507" w:type="pct"/>
            <w:tcBorders>
              <w:top w:val="single" w:sz="6" w:space="0" w:color="auto"/>
              <w:left w:val="double" w:sz="6" w:space="0" w:color="auto"/>
              <w:bottom w:val="single" w:sz="6" w:space="0" w:color="auto"/>
              <w:right w:val="single" w:sz="6" w:space="0" w:color="auto"/>
            </w:tcBorders>
          </w:tcPr>
          <w:p w14:paraId="54F8CF86" w14:textId="77777777" w:rsidR="002512C2" w:rsidRPr="00D5389E" w:rsidRDefault="002512C2" w:rsidP="00596A91">
            <w:pPr>
              <w:jc w:val="both"/>
            </w:pPr>
            <w:r w:rsidRPr="00D5389E">
              <w:t xml:space="preserve">  представительские расходы, %</w:t>
            </w:r>
          </w:p>
        </w:tc>
        <w:tc>
          <w:tcPr>
            <w:tcW w:w="819" w:type="pct"/>
            <w:tcBorders>
              <w:top w:val="single" w:sz="6" w:space="0" w:color="auto"/>
              <w:left w:val="single" w:sz="6" w:space="0" w:color="auto"/>
              <w:bottom w:val="single" w:sz="6" w:space="0" w:color="auto"/>
              <w:right w:val="single" w:sz="6" w:space="0" w:color="auto"/>
            </w:tcBorders>
          </w:tcPr>
          <w:p w14:paraId="683E20D8"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327EDE27" w14:textId="77777777" w:rsidR="002512C2" w:rsidRPr="006F3C10" w:rsidRDefault="002512C2" w:rsidP="00596A91">
            <w:pPr>
              <w:jc w:val="both"/>
              <w:rPr>
                <w:b/>
                <w:i/>
              </w:rPr>
            </w:pPr>
            <w:r w:rsidRPr="006F3C10">
              <w:rPr>
                <w:b/>
                <w:i/>
              </w:rPr>
              <w:t>-</w:t>
            </w:r>
          </w:p>
        </w:tc>
        <w:tc>
          <w:tcPr>
            <w:tcW w:w="837" w:type="pct"/>
            <w:tcBorders>
              <w:top w:val="single" w:sz="6" w:space="0" w:color="auto"/>
              <w:left w:val="single" w:sz="6" w:space="0" w:color="auto"/>
              <w:bottom w:val="single" w:sz="6" w:space="0" w:color="auto"/>
              <w:right w:val="double" w:sz="6" w:space="0" w:color="auto"/>
            </w:tcBorders>
          </w:tcPr>
          <w:p w14:paraId="22F2E585" w14:textId="7D04A1AA" w:rsidR="002512C2" w:rsidRPr="006F3C10" w:rsidRDefault="00407594" w:rsidP="00596A91">
            <w:pPr>
              <w:jc w:val="both"/>
              <w:rPr>
                <w:b/>
                <w:i/>
              </w:rPr>
            </w:pPr>
            <w:r w:rsidRPr="006F3C10">
              <w:rPr>
                <w:b/>
                <w:i/>
              </w:rPr>
              <w:t>-</w:t>
            </w:r>
          </w:p>
        </w:tc>
      </w:tr>
      <w:tr w:rsidR="002512C2" w:rsidRPr="00D5389E" w14:paraId="677E9CD7" w14:textId="5B5BF110" w:rsidTr="002512C2">
        <w:tc>
          <w:tcPr>
            <w:tcW w:w="2507" w:type="pct"/>
            <w:tcBorders>
              <w:top w:val="single" w:sz="6" w:space="0" w:color="auto"/>
              <w:left w:val="double" w:sz="6" w:space="0" w:color="auto"/>
              <w:bottom w:val="single" w:sz="6" w:space="0" w:color="auto"/>
              <w:right w:val="single" w:sz="6" w:space="0" w:color="auto"/>
            </w:tcBorders>
          </w:tcPr>
          <w:p w14:paraId="2883F960" w14:textId="77777777" w:rsidR="002512C2" w:rsidRPr="00D5389E" w:rsidRDefault="002512C2" w:rsidP="00596A91">
            <w:pPr>
              <w:jc w:val="both"/>
            </w:pPr>
            <w:r w:rsidRPr="00D5389E">
              <w:t xml:space="preserve">  иное (пояснить): </w:t>
            </w:r>
            <w:r w:rsidRPr="00D5389E">
              <w:rPr>
                <w:i/>
                <w:iCs/>
              </w:rPr>
              <w:t>расходы на организацию выпуска и обслуживание собственных ценных бумаг, аудиторские и консультационные услуги, услуги банка</w:t>
            </w:r>
          </w:p>
        </w:tc>
        <w:tc>
          <w:tcPr>
            <w:tcW w:w="819" w:type="pct"/>
            <w:tcBorders>
              <w:top w:val="single" w:sz="6" w:space="0" w:color="auto"/>
              <w:left w:val="single" w:sz="6" w:space="0" w:color="auto"/>
              <w:bottom w:val="single" w:sz="6" w:space="0" w:color="auto"/>
              <w:right w:val="single" w:sz="6" w:space="0" w:color="auto"/>
            </w:tcBorders>
          </w:tcPr>
          <w:p w14:paraId="6A029CF5" w14:textId="77777777" w:rsidR="002512C2" w:rsidRPr="006F3C10" w:rsidRDefault="002512C2" w:rsidP="00596A91">
            <w:pPr>
              <w:jc w:val="both"/>
              <w:rPr>
                <w:b/>
                <w:i/>
              </w:rPr>
            </w:pPr>
            <w:r w:rsidRPr="006F3C10">
              <w:rPr>
                <w:b/>
                <w:i/>
              </w:rPr>
              <w:t>0.16</w:t>
            </w:r>
          </w:p>
        </w:tc>
        <w:tc>
          <w:tcPr>
            <w:tcW w:w="837" w:type="pct"/>
            <w:tcBorders>
              <w:top w:val="single" w:sz="6" w:space="0" w:color="auto"/>
              <w:left w:val="single" w:sz="6" w:space="0" w:color="auto"/>
              <w:bottom w:val="single" w:sz="6" w:space="0" w:color="auto"/>
              <w:right w:val="double" w:sz="6" w:space="0" w:color="auto"/>
            </w:tcBorders>
          </w:tcPr>
          <w:p w14:paraId="014C4EFB" w14:textId="77777777" w:rsidR="002512C2" w:rsidRPr="006F3C10" w:rsidRDefault="002512C2" w:rsidP="00596A91">
            <w:pPr>
              <w:jc w:val="both"/>
              <w:rPr>
                <w:b/>
                <w:i/>
              </w:rPr>
            </w:pPr>
            <w:r w:rsidRPr="006F3C10">
              <w:rPr>
                <w:b/>
                <w:i/>
                <w:lang w:val="en-US"/>
              </w:rPr>
              <w:t>0.</w:t>
            </w:r>
            <w:r w:rsidRPr="006F3C10">
              <w:rPr>
                <w:b/>
                <w:i/>
              </w:rPr>
              <w:t>42</w:t>
            </w:r>
          </w:p>
        </w:tc>
        <w:tc>
          <w:tcPr>
            <w:tcW w:w="837" w:type="pct"/>
            <w:tcBorders>
              <w:top w:val="single" w:sz="6" w:space="0" w:color="auto"/>
              <w:left w:val="single" w:sz="6" w:space="0" w:color="auto"/>
              <w:bottom w:val="single" w:sz="6" w:space="0" w:color="auto"/>
              <w:right w:val="double" w:sz="6" w:space="0" w:color="auto"/>
            </w:tcBorders>
          </w:tcPr>
          <w:p w14:paraId="713BD32B" w14:textId="5BC792FF" w:rsidR="002512C2" w:rsidRPr="006F3C10" w:rsidRDefault="008F1340" w:rsidP="00596A91">
            <w:pPr>
              <w:jc w:val="both"/>
              <w:rPr>
                <w:b/>
                <w:i/>
                <w:lang w:val="en-US"/>
              </w:rPr>
            </w:pPr>
            <w:r w:rsidRPr="006F3C10">
              <w:rPr>
                <w:b/>
                <w:i/>
              </w:rPr>
              <w:t>0.78</w:t>
            </w:r>
          </w:p>
        </w:tc>
      </w:tr>
      <w:tr w:rsidR="002512C2" w:rsidRPr="00D5389E" w14:paraId="1932517A" w14:textId="1F210917" w:rsidTr="002512C2">
        <w:tc>
          <w:tcPr>
            <w:tcW w:w="2507" w:type="pct"/>
            <w:tcBorders>
              <w:top w:val="single" w:sz="6" w:space="0" w:color="auto"/>
              <w:left w:val="double" w:sz="6" w:space="0" w:color="auto"/>
              <w:bottom w:val="single" w:sz="6" w:space="0" w:color="auto"/>
              <w:right w:val="single" w:sz="6" w:space="0" w:color="auto"/>
            </w:tcBorders>
          </w:tcPr>
          <w:p w14:paraId="7F53E401" w14:textId="77777777" w:rsidR="002512C2" w:rsidRPr="00D5389E" w:rsidRDefault="002512C2" w:rsidP="00596A91">
            <w:pPr>
              <w:jc w:val="both"/>
            </w:pPr>
            <w:r w:rsidRPr="00D5389E">
              <w:t>Итого: затраты на производство и продажу продукции (работ, услуг) (себестоимость), %</w:t>
            </w:r>
          </w:p>
        </w:tc>
        <w:tc>
          <w:tcPr>
            <w:tcW w:w="819" w:type="pct"/>
            <w:tcBorders>
              <w:top w:val="single" w:sz="6" w:space="0" w:color="auto"/>
              <w:left w:val="single" w:sz="6" w:space="0" w:color="auto"/>
              <w:bottom w:val="single" w:sz="6" w:space="0" w:color="auto"/>
              <w:right w:val="single" w:sz="6" w:space="0" w:color="auto"/>
            </w:tcBorders>
          </w:tcPr>
          <w:p w14:paraId="505F085A" w14:textId="77777777" w:rsidR="002512C2" w:rsidRPr="006F3C10" w:rsidRDefault="002512C2" w:rsidP="00596A91">
            <w:pPr>
              <w:jc w:val="both"/>
              <w:rPr>
                <w:b/>
                <w:i/>
              </w:rPr>
            </w:pPr>
            <w:r w:rsidRPr="006F3C10">
              <w:rPr>
                <w:b/>
                <w:i/>
              </w:rPr>
              <w:t>100</w:t>
            </w:r>
          </w:p>
        </w:tc>
        <w:tc>
          <w:tcPr>
            <w:tcW w:w="837" w:type="pct"/>
            <w:tcBorders>
              <w:top w:val="single" w:sz="6" w:space="0" w:color="auto"/>
              <w:left w:val="single" w:sz="6" w:space="0" w:color="auto"/>
              <w:bottom w:val="single" w:sz="6" w:space="0" w:color="auto"/>
              <w:right w:val="double" w:sz="6" w:space="0" w:color="auto"/>
            </w:tcBorders>
          </w:tcPr>
          <w:p w14:paraId="68D046A0" w14:textId="77777777" w:rsidR="002512C2" w:rsidRPr="006F3C10" w:rsidRDefault="002512C2" w:rsidP="00596A91">
            <w:pPr>
              <w:jc w:val="both"/>
              <w:rPr>
                <w:b/>
                <w:i/>
                <w:lang w:val="en-US"/>
              </w:rPr>
            </w:pPr>
            <w:r w:rsidRPr="006F3C10">
              <w:rPr>
                <w:b/>
                <w:i/>
                <w:lang w:val="en-US"/>
              </w:rPr>
              <w:t>100</w:t>
            </w:r>
          </w:p>
        </w:tc>
        <w:tc>
          <w:tcPr>
            <w:tcW w:w="837" w:type="pct"/>
            <w:tcBorders>
              <w:top w:val="single" w:sz="6" w:space="0" w:color="auto"/>
              <w:left w:val="single" w:sz="6" w:space="0" w:color="auto"/>
              <w:bottom w:val="single" w:sz="6" w:space="0" w:color="auto"/>
              <w:right w:val="double" w:sz="6" w:space="0" w:color="auto"/>
            </w:tcBorders>
          </w:tcPr>
          <w:p w14:paraId="5166838F" w14:textId="3D60769B" w:rsidR="002512C2" w:rsidRPr="006F3C10" w:rsidRDefault="008F1340" w:rsidP="00596A91">
            <w:pPr>
              <w:jc w:val="both"/>
              <w:rPr>
                <w:b/>
                <w:i/>
                <w:lang w:val="en-US"/>
              </w:rPr>
            </w:pPr>
            <w:r w:rsidRPr="006F3C10">
              <w:rPr>
                <w:b/>
                <w:i/>
              </w:rPr>
              <w:t>100</w:t>
            </w:r>
          </w:p>
        </w:tc>
      </w:tr>
      <w:tr w:rsidR="002512C2" w:rsidRPr="00D5389E" w14:paraId="2954AFCF" w14:textId="64D1D45F" w:rsidTr="002512C2">
        <w:tc>
          <w:tcPr>
            <w:tcW w:w="2507" w:type="pct"/>
            <w:tcBorders>
              <w:top w:val="single" w:sz="6" w:space="0" w:color="auto"/>
              <w:left w:val="double" w:sz="6" w:space="0" w:color="auto"/>
              <w:bottom w:val="double" w:sz="6" w:space="0" w:color="auto"/>
              <w:right w:val="single" w:sz="6" w:space="0" w:color="auto"/>
            </w:tcBorders>
          </w:tcPr>
          <w:p w14:paraId="3A6C77A2" w14:textId="77777777" w:rsidR="002512C2" w:rsidRPr="00D5389E" w:rsidRDefault="002512C2" w:rsidP="00596A91">
            <w:pPr>
              <w:jc w:val="both"/>
            </w:pPr>
            <w:r w:rsidRPr="00D5389E">
              <w:t>Справочно: Выручка от продажи продукции (работ, услуг), % к себестоимости</w:t>
            </w:r>
          </w:p>
        </w:tc>
        <w:tc>
          <w:tcPr>
            <w:tcW w:w="819" w:type="pct"/>
            <w:tcBorders>
              <w:top w:val="single" w:sz="6" w:space="0" w:color="auto"/>
              <w:left w:val="single" w:sz="6" w:space="0" w:color="auto"/>
              <w:bottom w:val="double" w:sz="6" w:space="0" w:color="auto"/>
              <w:right w:val="single" w:sz="6" w:space="0" w:color="auto"/>
            </w:tcBorders>
          </w:tcPr>
          <w:p w14:paraId="6E36522C" w14:textId="77777777" w:rsidR="002512C2" w:rsidRPr="006F3C10" w:rsidRDefault="002512C2" w:rsidP="00596A91">
            <w:pPr>
              <w:jc w:val="both"/>
              <w:rPr>
                <w:b/>
                <w:i/>
              </w:rPr>
            </w:pPr>
            <w:r w:rsidRPr="006F3C10">
              <w:rPr>
                <w:b/>
                <w:i/>
              </w:rPr>
              <w:t>0.71</w:t>
            </w:r>
          </w:p>
        </w:tc>
        <w:tc>
          <w:tcPr>
            <w:tcW w:w="837" w:type="pct"/>
            <w:tcBorders>
              <w:top w:val="single" w:sz="6" w:space="0" w:color="auto"/>
              <w:left w:val="single" w:sz="6" w:space="0" w:color="auto"/>
              <w:bottom w:val="double" w:sz="6" w:space="0" w:color="auto"/>
              <w:right w:val="double" w:sz="6" w:space="0" w:color="auto"/>
            </w:tcBorders>
          </w:tcPr>
          <w:p w14:paraId="34FB5766" w14:textId="77777777" w:rsidR="002512C2" w:rsidRPr="006F3C10" w:rsidRDefault="002512C2" w:rsidP="00596A91">
            <w:pPr>
              <w:jc w:val="both"/>
              <w:rPr>
                <w:b/>
                <w:i/>
                <w:lang w:val="en-US"/>
              </w:rPr>
            </w:pPr>
            <w:r w:rsidRPr="006F3C10">
              <w:rPr>
                <w:b/>
                <w:i/>
              </w:rPr>
              <w:t>69.34</w:t>
            </w:r>
          </w:p>
        </w:tc>
        <w:tc>
          <w:tcPr>
            <w:tcW w:w="837" w:type="pct"/>
            <w:tcBorders>
              <w:top w:val="single" w:sz="6" w:space="0" w:color="auto"/>
              <w:left w:val="single" w:sz="6" w:space="0" w:color="auto"/>
              <w:bottom w:val="double" w:sz="6" w:space="0" w:color="auto"/>
              <w:right w:val="double" w:sz="6" w:space="0" w:color="auto"/>
            </w:tcBorders>
          </w:tcPr>
          <w:p w14:paraId="60CD2F07" w14:textId="2A022E0F" w:rsidR="002512C2" w:rsidRPr="006F3C10" w:rsidRDefault="008F1340" w:rsidP="00596A91">
            <w:pPr>
              <w:jc w:val="both"/>
              <w:rPr>
                <w:b/>
                <w:i/>
              </w:rPr>
            </w:pPr>
            <w:r w:rsidRPr="006F3C10">
              <w:rPr>
                <w:b/>
                <w:i/>
              </w:rPr>
              <w:t>100.65</w:t>
            </w:r>
          </w:p>
        </w:tc>
      </w:tr>
    </w:tbl>
    <w:p w14:paraId="30E9642E" w14:textId="77777777" w:rsidR="002A4244" w:rsidRPr="00D5389E" w:rsidRDefault="002A4244" w:rsidP="002A4244">
      <w:pPr>
        <w:jc w:val="both"/>
      </w:pPr>
      <w:bookmarkStart w:id="7" w:name="_Toc96338349"/>
      <w:bookmarkStart w:id="8" w:name="_Toc96338445"/>
      <w:bookmarkStart w:id="9" w:name="_Toc96338541"/>
      <w:bookmarkStart w:id="10" w:name="_Toc96338815"/>
    </w:p>
    <w:p w14:paraId="04B4F33C" w14:textId="77777777" w:rsidR="002A4244" w:rsidRPr="006F3C10" w:rsidRDefault="002A4244" w:rsidP="00FB254C">
      <w:pPr>
        <w:jc w:val="both"/>
        <w:rPr>
          <w:b/>
          <w:i/>
        </w:rPr>
      </w:pPr>
      <w:r w:rsidRPr="006F3C10">
        <w:rPr>
          <w:b/>
          <w:i/>
        </w:rPr>
        <w:t>Основная доля расходов в структуре себестоимости Эмитента приходится на проценты по облигационному займу. Существенное влияние на абсолютное значение суммы процентов оказывает общий уровень стоимости денег в экономике.</w:t>
      </w:r>
      <w:bookmarkEnd w:id="7"/>
      <w:bookmarkEnd w:id="8"/>
      <w:bookmarkEnd w:id="9"/>
      <w:bookmarkEnd w:id="10"/>
      <w:r w:rsidRPr="006F3C10">
        <w:rPr>
          <w:b/>
          <w:i/>
        </w:rPr>
        <w:t xml:space="preserve"> Доля процентных расходов в общей структуре себестоимости за рассматриваемые периоды не претерпели существенных изменений.</w:t>
      </w:r>
    </w:p>
    <w:p w14:paraId="7C232ED2" w14:textId="77777777" w:rsidR="006F3C10" w:rsidRDefault="006F3C10" w:rsidP="002A4244">
      <w:pPr>
        <w:pStyle w:val="af2"/>
        <w:jc w:val="both"/>
        <w:rPr>
          <w:rFonts w:ascii="Times New Roman" w:hAnsi="Times New Roman"/>
          <w:lang w:val="en-US"/>
        </w:rPr>
      </w:pPr>
      <w:bookmarkStart w:id="11" w:name="_Toc96338350"/>
      <w:bookmarkStart w:id="12" w:name="_Toc96338446"/>
      <w:bookmarkStart w:id="13" w:name="_Toc96338542"/>
      <w:bookmarkStart w:id="14" w:name="_Toc96338816"/>
      <w:bookmarkStart w:id="15" w:name="_Toc164937565"/>
    </w:p>
    <w:p w14:paraId="67D0CB98" w14:textId="377113D4" w:rsidR="002A4244" w:rsidRPr="006F3C10" w:rsidRDefault="00B07DC1" w:rsidP="004F6B50">
      <w:pPr>
        <w:pStyle w:val="af2"/>
        <w:rPr>
          <w:rFonts w:ascii="Times New Roman" w:hAnsi="Times New Roman"/>
          <w:b/>
          <w:sz w:val="22"/>
          <w:szCs w:val="22"/>
        </w:rPr>
      </w:pPr>
      <w:r>
        <w:rPr>
          <w:rFonts w:ascii="Times New Roman" w:hAnsi="Times New Roman"/>
          <w:b/>
          <w:sz w:val="22"/>
          <w:szCs w:val="22"/>
        </w:rPr>
        <w:t>3</w:t>
      </w:r>
      <w:r w:rsidR="002A4244" w:rsidRPr="006F3C10">
        <w:rPr>
          <w:rFonts w:ascii="Times New Roman" w:hAnsi="Times New Roman"/>
          <w:b/>
          <w:sz w:val="22"/>
          <w:szCs w:val="22"/>
        </w:rPr>
        <w:t>.</w:t>
      </w:r>
      <w:r>
        <w:rPr>
          <w:rFonts w:ascii="Times New Roman" w:hAnsi="Times New Roman"/>
          <w:b/>
          <w:sz w:val="22"/>
          <w:szCs w:val="22"/>
        </w:rPr>
        <w:t>3</w:t>
      </w:r>
      <w:r w:rsidR="002A4244" w:rsidRPr="006F3C10">
        <w:rPr>
          <w:rFonts w:ascii="Times New Roman" w:hAnsi="Times New Roman"/>
          <w:b/>
          <w:sz w:val="22"/>
          <w:szCs w:val="22"/>
        </w:rPr>
        <w:t xml:space="preserve">. </w:t>
      </w:r>
      <w:bookmarkStart w:id="16" w:name="_Hlk96088128"/>
      <w:r w:rsidR="002A4244" w:rsidRPr="006F3C10">
        <w:rPr>
          <w:rFonts w:ascii="Times New Roman" w:hAnsi="Times New Roman"/>
          <w:b/>
          <w:sz w:val="22"/>
          <w:szCs w:val="22"/>
        </w:rPr>
        <w:t>Основные финансовые показатели эмитента</w:t>
      </w:r>
      <w:bookmarkEnd w:id="11"/>
      <w:bookmarkEnd w:id="12"/>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2"/>
        <w:gridCol w:w="3233"/>
        <w:gridCol w:w="2989"/>
        <w:gridCol w:w="1262"/>
        <w:gridCol w:w="1262"/>
        <w:gridCol w:w="1262"/>
      </w:tblGrid>
      <w:tr w:rsidR="002512C2" w:rsidRPr="00D5389E" w14:paraId="78646919" w14:textId="356DC0FC" w:rsidTr="00B07DC1">
        <w:trPr>
          <w:tblHeader/>
        </w:trPr>
        <w:tc>
          <w:tcPr>
            <w:tcW w:w="202" w:type="pct"/>
          </w:tcPr>
          <w:p w14:paraId="647A6EA5" w14:textId="77777777" w:rsidR="002512C2" w:rsidRPr="00510904" w:rsidRDefault="002512C2" w:rsidP="00596A91">
            <w:pPr>
              <w:pStyle w:val="ConsPlusNormal"/>
              <w:jc w:val="both"/>
              <w:rPr>
                <w:rFonts w:ascii="Times New Roman" w:hAnsi="Times New Roman" w:cs="Times New Roman"/>
                <w:sz w:val="22"/>
              </w:rPr>
            </w:pPr>
            <w:r w:rsidRPr="00510904">
              <w:rPr>
                <w:rFonts w:ascii="Times New Roman" w:hAnsi="Times New Roman" w:cs="Times New Roman"/>
                <w:sz w:val="22"/>
              </w:rPr>
              <w:t>N п/п</w:t>
            </w:r>
          </w:p>
        </w:tc>
        <w:tc>
          <w:tcPr>
            <w:tcW w:w="1550" w:type="pct"/>
          </w:tcPr>
          <w:p w14:paraId="47F3A774" w14:textId="77777777" w:rsidR="002512C2" w:rsidRPr="00510904" w:rsidRDefault="002512C2" w:rsidP="00596A91">
            <w:pPr>
              <w:pStyle w:val="ConsPlusNormal"/>
              <w:jc w:val="both"/>
              <w:rPr>
                <w:rFonts w:ascii="Times New Roman" w:hAnsi="Times New Roman" w:cs="Times New Roman"/>
                <w:szCs w:val="20"/>
              </w:rPr>
            </w:pPr>
            <w:r w:rsidRPr="00510904">
              <w:rPr>
                <w:rFonts w:ascii="Times New Roman" w:hAnsi="Times New Roman" w:cs="Times New Roman"/>
                <w:szCs w:val="20"/>
              </w:rPr>
              <w:t>Наименование показателя</w:t>
            </w:r>
          </w:p>
        </w:tc>
        <w:tc>
          <w:tcPr>
            <w:tcW w:w="1433" w:type="pct"/>
          </w:tcPr>
          <w:p w14:paraId="696BDC1D" w14:textId="77777777" w:rsidR="002512C2" w:rsidRPr="00510904" w:rsidRDefault="002512C2" w:rsidP="00596A91">
            <w:pPr>
              <w:pStyle w:val="ConsPlusNormal"/>
              <w:jc w:val="both"/>
              <w:rPr>
                <w:rFonts w:ascii="Times New Roman" w:hAnsi="Times New Roman" w:cs="Times New Roman"/>
                <w:szCs w:val="20"/>
              </w:rPr>
            </w:pPr>
            <w:r w:rsidRPr="00510904">
              <w:rPr>
                <w:rFonts w:ascii="Times New Roman" w:hAnsi="Times New Roman" w:cs="Times New Roman"/>
                <w:szCs w:val="20"/>
              </w:rPr>
              <w:t>Методика расчета показателя (строка бухгалтерской отчетности, исходя из которой раскрывается показатель)</w:t>
            </w:r>
          </w:p>
        </w:tc>
        <w:tc>
          <w:tcPr>
            <w:tcW w:w="605" w:type="pct"/>
          </w:tcPr>
          <w:p w14:paraId="69E82F9B" w14:textId="689E6152" w:rsidR="002512C2" w:rsidRPr="00510904" w:rsidRDefault="002512C2" w:rsidP="00596A91">
            <w:pPr>
              <w:jc w:val="both"/>
              <w:rPr>
                <w:lang w:val="en-US"/>
              </w:rPr>
            </w:pPr>
            <w:r w:rsidRPr="00510904">
              <w:t>2023</w:t>
            </w:r>
          </w:p>
        </w:tc>
        <w:tc>
          <w:tcPr>
            <w:tcW w:w="605" w:type="pct"/>
          </w:tcPr>
          <w:p w14:paraId="0B773CCE" w14:textId="56A69582" w:rsidR="002512C2" w:rsidRPr="00510904" w:rsidRDefault="002512C2" w:rsidP="00596A91">
            <w:pPr>
              <w:adjustRightInd w:val="0"/>
              <w:jc w:val="both"/>
            </w:pPr>
            <w:r w:rsidRPr="00510904">
              <w:t>2022</w:t>
            </w:r>
          </w:p>
        </w:tc>
        <w:tc>
          <w:tcPr>
            <w:tcW w:w="605" w:type="pct"/>
          </w:tcPr>
          <w:p w14:paraId="4E9160C2" w14:textId="37A5CFD8" w:rsidR="002512C2" w:rsidRPr="00510904" w:rsidRDefault="002512C2" w:rsidP="00596A91">
            <w:pPr>
              <w:adjustRightInd w:val="0"/>
              <w:jc w:val="both"/>
            </w:pPr>
            <w:r w:rsidRPr="00750882">
              <w:t>2021</w:t>
            </w:r>
          </w:p>
        </w:tc>
      </w:tr>
      <w:tr w:rsidR="002512C2" w:rsidRPr="00D5389E" w14:paraId="5F4EB6B0" w14:textId="3A39CAD1" w:rsidTr="00B07DC1">
        <w:trPr>
          <w:trHeight w:val="206"/>
          <w:tblHeader/>
        </w:trPr>
        <w:tc>
          <w:tcPr>
            <w:tcW w:w="202" w:type="pct"/>
          </w:tcPr>
          <w:p w14:paraId="3F20E21D" w14:textId="77777777" w:rsidR="002512C2" w:rsidRPr="0078449D" w:rsidRDefault="002512C2" w:rsidP="00596A91">
            <w:pPr>
              <w:pStyle w:val="ConsPlusNormal"/>
              <w:jc w:val="both"/>
              <w:rPr>
                <w:rFonts w:ascii="Times New Roman" w:hAnsi="Times New Roman" w:cs="Times New Roman"/>
                <w:i/>
                <w:sz w:val="22"/>
              </w:rPr>
            </w:pPr>
            <w:r w:rsidRPr="0078449D">
              <w:rPr>
                <w:rFonts w:ascii="Times New Roman" w:hAnsi="Times New Roman" w:cs="Times New Roman"/>
                <w:i/>
                <w:sz w:val="22"/>
              </w:rPr>
              <w:t>1</w:t>
            </w:r>
          </w:p>
        </w:tc>
        <w:tc>
          <w:tcPr>
            <w:tcW w:w="1550" w:type="pct"/>
          </w:tcPr>
          <w:p w14:paraId="6B8F3A17" w14:textId="77777777" w:rsidR="002512C2" w:rsidRPr="0078449D" w:rsidRDefault="002512C2" w:rsidP="00596A91">
            <w:pPr>
              <w:pStyle w:val="ConsPlusNormal"/>
              <w:jc w:val="both"/>
              <w:rPr>
                <w:rFonts w:ascii="Times New Roman" w:hAnsi="Times New Roman" w:cs="Times New Roman"/>
                <w:i/>
                <w:szCs w:val="20"/>
              </w:rPr>
            </w:pPr>
            <w:r w:rsidRPr="0078449D">
              <w:rPr>
                <w:rFonts w:ascii="Times New Roman" w:hAnsi="Times New Roman" w:cs="Times New Roman"/>
                <w:i/>
                <w:szCs w:val="20"/>
              </w:rPr>
              <w:t>2</w:t>
            </w:r>
          </w:p>
        </w:tc>
        <w:tc>
          <w:tcPr>
            <w:tcW w:w="1433" w:type="pct"/>
          </w:tcPr>
          <w:p w14:paraId="70B4701A" w14:textId="77777777" w:rsidR="002512C2" w:rsidRPr="0078449D" w:rsidRDefault="002512C2" w:rsidP="00596A91">
            <w:pPr>
              <w:pStyle w:val="ConsPlusNormal"/>
              <w:jc w:val="both"/>
              <w:rPr>
                <w:rFonts w:ascii="Times New Roman" w:hAnsi="Times New Roman" w:cs="Times New Roman"/>
                <w:i/>
                <w:szCs w:val="20"/>
              </w:rPr>
            </w:pPr>
            <w:r w:rsidRPr="0078449D">
              <w:rPr>
                <w:rFonts w:ascii="Times New Roman" w:hAnsi="Times New Roman" w:cs="Times New Roman"/>
                <w:i/>
                <w:szCs w:val="20"/>
              </w:rPr>
              <w:t>3</w:t>
            </w:r>
          </w:p>
        </w:tc>
        <w:tc>
          <w:tcPr>
            <w:tcW w:w="605" w:type="pct"/>
          </w:tcPr>
          <w:p w14:paraId="553D7713" w14:textId="77777777" w:rsidR="002512C2" w:rsidRPr="0078449D" w:rsidRDefault="002512C2" w:rsidP="00596A91">
            <w:pPr>
              <w:pStyle w:val="ConsPlusNormal"/>
              <w:jc w:val="both"/>
              <w:rPr>
                <w:rFonts w:ascii="Times New Roman" w:hAnsi="Times New Roman" w:cs="Times New Roman"/>
                <w:i/>
                <w:szCs w:val="20"/>
              </w:rPr>
            </w:pPr>
            <w:r w:rsidRPr="0078449D">
              <w:rPr>
                <w:rFonts w:ascii="Times New Roman" w:hAnsi="Times New Roman" w:cs="Times New Roman"/>
                <w:i/>
                <w:szCs w:val="20"/>
              </w:rPr>
              <w:t>4</w:t>
            </w:r>
          </w:p>
        </w:tc>
        <w:tc>
          <w:tcPr>
            <w:tcW w:w="605" w:type="pct"/>
          </w:tcPr>
          <w:p w14:paraId="320E07D1" w14:textId="77777777" w:rsidR="002512C2" w:rsidRPr="0078449D" w:rsidRDefault="002512C2" w:rsidP="00782BFA">
            <w:pPr>
              <w:pStyle w:val="ConsPlusNormal"/>
              <w:jc w:val="center"/>
              <w:rPr>
                <w:rFonts w:ascii="Times New Roman" w:hAnsi="Times New Roman" w:cs="Times New Roman"/>
                <w:i/>
                <w:szCs w:val="20"/>
              </w:rPr>
            </w:pPr>
            <w:r w:rsidRPr="0078449D">
              <w:rPr>
                <w:rFonts w:ascii="Times New Roman" w:hAnsi="Times New Roman" w:cs="Times New Roman"/>
                <w:i/>
                <w:szCs w:val="20"/>
              </w:rPr>
              <w:t>5</w:t>
            </w:r>
          </w:p>
        </w:tc>
        <w:tc>
          <w:tcPr>
            <w:tcW w:w="605" w:type="pct"/>
          </w:tcPr>
          <w:p w14:paraId="562693AF" w14:textId="44EF6ACC" w:rsidR="002512C2" w:rsidRPr="0078449D" w:rsidRDefault="00782BFA" w:rsidP="00782BFA">
            <w:pPr>
              <w:pStyle w:val="ConsPlusNormal"/>
              <w:jc w:val="center"/>
              <w:rPr>
                <w:rFonts w:ascii="Times New Roman" w:hAnsi="Times New Roman" w:cs="Times New Roman"/>
                <w:i/>
                <w:szCs w:val="20"/>
              </w:rPr>
            </w:pPr>
            <w:r>
              <w:rPr>
                <w:rFonts w:ascii="Times New Roman" w:hAnsi="Times New Roman" w:cs="Times New Roman"/>
                <w:i/>
                <w:szCs w:val="20"/>
              </w:rPr>
              <w:t>6</w:t>
            </w:r>
          </w:p>
        </w:tc>
      </w:tr>
      <w:tr w:rsidR="002512C2" w:rsidRPr="00D5389E" w14:paraId="17C1783D" w14:textId="20FC7FA9" w:rsidTr="00B07DC1">
        <w:tc>
          <w:tcPr>
            <w:tcW w:w="202" w:type="pct"/>
          </w:tcPr>
          <w:p w14:paraId="69C36F01"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1</w:t>
            </w:r>
          </w:p>
        </w:tc>
        <w:tc>
          <w:tcPr>
            <w:tcW w:w="1550" w:type="pct"/>
          </w:tcPr>
          <w:p w14:paraId="098656E1"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Выручка</w:t>
            </w:r>
          </w:p>
        </w:tc>
        <w:tc>
          <w:tcPr>
            <w:tcW w:w="1433" w:type="pct"/>
          </w:tcPr>
          <w:p w14:paraId="01BF9D3B"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Строка 2110 "Выручка"</w:t>
            </w:r>
          </w:p>
        </w:tc>
        <w:tc>
          <w:tcPr>
            <w:tcW w:w="605" w:type="pct"/>
          </w:tcPr>
          <w:p w14:paraId="2EFF8959"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9 411</w:t>
            </w:r>
          </w:p>
        </w:tc>
        <w:tc>
          <w:tcPr>
            <w:tcW w:w="605" w:type="pct"/>
          </w:tcPr>
          <w:p w14:paraId="1C44D58E"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960 531</w:t>
            </w:r>
          </w:p>
        </w:tc>
        <w:tc>
          <w:tcPr>
            <w:tcW w:w="605" w:type="pct"/>
          </w:tcPr>
          <w:p w14:paraId="11BA3D21" w14:textId="7B96645B"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947 040</w:t>
            </w:r>
          </w:p>
        </w:tc>
      </w:tr>
      <w:tr w:rsidR="002512C2" w:rsidRPr="00D5389E" w14:paraId="76989015" w14:textId="30C7E073" w:rsidTr="00B07DC1">
        <w:tc>
          <w:tcPr>
            <w:tcW w:w="202" w:type="pct"/>
          </w:tcPr>
          <w:p w14:paraId="742E72DB"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2</w:t>
            </w:r>
          </w:p>
        </w:tc>
        <w:tc>
          <w:tcPr>
            <w:tcW w:w="1550" w:type="pct"/>
          </w:tcPr>
          <w:p w14:paraId="34F92C54"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Прибыль (убыток) от продаж</w:t>
            </w:r>
          </w:p>
        </w:tc>
        <w:tc>
          <w:tcPr>
            <w:tcW w:w="1433" w:type="pct"/>
          </w:tcPr>
          <w:p w14:paraId="5626543A"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Строка 2200 "Прибыль (убыток) от продаж"</w:t>
            </w:r>
          </w:p>
        </w:tc>
        <w:tc>
          <w:tcPr>
            <w:tcW w:w="605" w:type="pct"/>
          </w:tcPr>
          <w:p w14:paraId="177A1A60" w14:textId="77777777" w:rsidR="002512C2" w:rsidRPr="006F3C10" w:rsidRDefault="002512C2" w:rsidP="00596A91">
            <w:pPr>
              <w:pStyle w:val="ConsPlusNormal"/>
              <w:jc w:val="both"/>
              <w:rPr>
                <w:rFonts w:ascii="Times New Roman" w:hAnsi="Times New Roman" w:cs="Times New Roman"/>
                <w:b/>
                <w:i/>
                <w:szCs w:val="20"/>
                <w:highlight w:val="yellow"/>
              </w:rPr>
            </w:pPr>
            <w:r w:rsidRPr="006F3C10">
              <w:rPr>
                <w:rFonts w:ascii="Times New Roman" w:hAnsi="Times New Roman" w:cs="Times New Roman"/>
                <w:b/>
                <w:i/>
                <w:szCs w:val="20"/>
              </w:rPr>
              <w:t>(1 324 340)</w:t>
            </w:r>
          </w:p>
        </w:tc>
        <w:tc>
          <w:tcPr>
            <w:tcW w:w="605" w:type="pct"/>
          </w:tcPr>
          <w:p w14:paraId="42529E88"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(424 569)</w:t>
            </w:r>
          </w:p>
        </w:tc>
        <w:tc>
          <w:tcPr>
            <w:tcW w:w="605" w:type="pct"/>
          </w:tcPr>
          <w:p w14:paraId="7EFA5DDC" w14:textId="13764A33"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6 944</w:t>
            </w:r>
          </w:p>
        </w:tc>
      </w:tr>
      <w:tr w:rsidR="002512C2" w:rsidRPr="00D5389E" w14:paraId="2A89EB66" w14:textId="65EFC911" w:rsidTr="00B07DC1">
        <w:tc>
          <w:tcPr>
            <w:tcW w:w="202" w:type="pct"/>
          </w:tcPr>
          <w:p w14:paraId="55DC7D2C"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3</w:t>
            </w:r>
          </w:p>
        </w:tc>
        <w:tc>
          <w:tcPr>
            <w:tcW w:w="1550" w:type="pct"/>
          </w:tcPr>
          <w:p w14:paraId="06BAF175"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Прибыль до вычета расходов по выплате процентов, налогов, износа основных средств и амортизации нематериальных активов (</w:t>
            </w:r>
            <w:bookmarkStart w:id="17" w:name="_Hlk133336331"/>
            <w:r w:rsidRPr="00D5389E">
              <w:rPr>
                <w:rFonts w:ascii="Times New Roman" w:hAnsi="Times New Roman" w:cs="Times New Roman"/>
                <w:szCs w:val="20"/>
              </w:rPr>
              <w:t>EBITDA</w:t>
            </w:r>
            <w:bookmarkEnd w:id="17"/>
            <w:r w:rsidRPr="00D5389E">
              <w:rPr>
                <w:rFonts w:ascii="Times New Roman" w:hAnsi="Times New Roman" w:cs="Times New Roman"/>
                <w:szCs w:val="20"/>
              </w:rPr>
              <w:t>)</w:t>
            </w:r>
          </w:p>
        </w:tc>
        <w:tc>
          <w:tcPr>
            <w:tcW w:w="1433" w:type="pct"/>
          </w:tcPr>
          <w:p w14:paraId="4CCDBB44"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Сумма прибыли (убытка) до налогообложения (строка 2300), амортизации (строка 5640) и процентов к уплате (строка 2330) за вычетом процентов к получению (строка 2320)</w:t>
            </w:r>
          </w:p>
        </w:tc>
        <w:tc>
          <w:tcPr>
            <w:tcW w:w="605" w:type="pct"/>
          </w:tcPr>
          <w:p w14:paraId="0B960E87"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(1 260 753)</w:t>
            </w:r>
          </w:p>
        </w:tc>
        <w:tc>
          <w:tcPr>
            <w:tcW w:w="605" w:type="pct"/>
          </w:tcPr>
          <w:p w14:paraId="16B7F6F6"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(424 703)</w:t>
            </w:r>
          </w:p>
        </w:tc>
        <w:tc>
          <w:tcPr>
            <w:tcW w:w="605" w:type="pct"/>
          </w:tcPr>
          <w:p w14:paraId="3B016CAA" w14:textId="51CA7E90"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6 138</w:t>
            </w:r>
          </w:p>
        </w:tc>
      </w:tr>
      <w:tr w:rsidR="002512C2" w:rsidRPr="00D5389E" w14:paraId="7DD8543B" w14:textId="40B28748" w:rsidTr="00B07DC1">
        <w:tc>
          <w:tcPr>
            <w:tcW w:w="202" w:type="pct"/>
          </w:tcPr>
          <w:p w14:paraId="08186C18"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4</w:t>
            </w:r>
          </w:p>
        </w:tc>
        <w:tc>
          <w:tcPr>
            <w:tcW w:w="1550" w:type="pct"/>
          </w:tcPr>
          <w:p w14:paraId="2BF78580"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 xml:space="preserve">Рентабельность по EBITDA (EBITDA </w:t>
            </w:r>
            <w:proofErr w:type="spellStart"/>
            <w:r w:rsidRPr="00D5389E">
              <w:rPr>
                <w:rFonts w:ascii="Times New Roman" w:hAnsi="Times New Roman" w:cs="Times New Roman"/>
                <w:szCs w:val="20"/>
              </w:rPr>
              <w:t>margin</w:t>
            </w:r>
            <w:proofErr w:type="spellEnd"/>
            <w:r w:rsidRPr="00D5389E">
              <w:rPr>
                <w:rFonts w:ascii="Times New Roman" w:hAnsi="Times New Roman" w:cs="Times New Roman"/>
                <w:szCs w:val="20"/>
              </w:rPr>
              <w:t>)</w:t>
            </w:r>
          </w:p>
        </w:tc>
        <w:tc>
          <w:tcPr>
            <w:tcW w:w="1433" w:type="pct"/>
          </w:tcPr>
          <w:p w14:paraId="51C93C7E"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Отношение показателя EBITDA к выручке</w:t>
            </w:r>
          </w:p>
        </w:tc>
        <w:tc>
          <w:tcPr>
            <w:tcW w:w="605" w:type="pct"/>
          </w:tcPr>
          <w:p w14:paraId="30228212"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0</w:t>
            </w:r>
          </w:p>
        </w:tc>
        <w:tc>
          <w:tcPr>
            <w:tcW w:w="605" w:type="pct"/>
          </w:tcPr>
          <w:p w14:paraId="36E4AD47"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0</w:t>
            </w:r>
          </w:p>
        </w:tc>
        <w:tc>
          <w:tcPr>
            <w:tcW w:w="605" w:type="pct"/>
          </w:tcPr>
          <w:p w14:paraId="1BFCA09D" w14:textId="209B46FC"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0.65</w:t>
            </w:r>
          </w:p>
        </w:tc>
      </w:tr>
      <w:tr w:rsidR="002512C2" w:rsidRPr="00D5389E" w14:paraId="04771811" w14:textId="45AA5724" w:rsidTr="00B07DC1">
        <w:tc>
          <w:tcPr>
            <w:tcW w:w="202" w:type="pct"/>
          </w:tcPr>
          <w:p w14:paraId="6F245AA9"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5</w:t>
            </w:r>
          </w:p>
        </w:tc>
        <w:tc>
          <w:tcPr>
            <w:tcW w:w="1550" w:type="pct"/>
          </w:tcPr>
          <w:p w14:paraId="60B6EFB7"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Чистая прибыль (убыток)</w:t>
            </w:r>
          </w:p>
        </w:tc>
        <w:tc>
          <w:tcPr>
            <w:tcW w:w="1433" w:type="pct"/>
          </w:tcPr>
          <w:p w14:paraId="65173617"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Строка 2400 "Чистая прибыль (убыток)"</w:t>
            </w:r>
          </w:p>
        </w:tc>
        <w:tc>
          <w:tcPr>
            <w:tcW w:w="605" w:type="pct"/>
          </w:tcPr>
          <w:p w14:paraId="4682FECD"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(1 260 716)</w:t>
            </w:r>
          </w:p>
        </w:tc>
        <w:tc>
          <w:tcPr>
            <w:tcW w:w="605" w:type="pct"/>
          </w:tcPr>
          <w:p w14:paraId="2A75CE46"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(424 586)</w:t>
            </w:r>
          </w:p>
        </w:tc>
        <w:tc>
          <w:tcPr>
            <w:tcW w:w="605" w:type="pct"/>
          </w:tcPr>
          <w:p w14:paraId="32DDCB15" w14:textId="1E899E1F"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4 910</w:t>
            </w:r>
          </w:p>
        </w:tc>
      </w:tr>
      <w:tr w:rsidR="002512C2" w:rsidRPr="00D5389E" w14:paraId="61271845" w14:textId="01C4B7A7" w:rsidTr="00B07DC1">
        <w:tc>
          <w:tcPr>
            <w:tcW w:w="202" w:type="pct"/>
          </w:tcPr>
          <w:p w14:paraId="67E30656"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6</w:t>
            </w:r>
          </w:p>
        </w:tc>
        <w:tc>
          <w:tcPr>
            <w:tcW w:w="1550" w:type="pct"/>
          </w:tcPr>
          <w:p w14:paraId="0B76F9FF" w14:textId="77777777" w:rsidR="002512C2" w:rsidRPr="00D5389E" w:rsidRDefault="002512C2" w:rsidP="00596A91">
            <w:pPr>
              <w:pStyle w:val="ConsPlusNormal"/>
              <w:ind w:firstLine="283"/>
              <w:jc w:val="both"/>
              <w:rPr>
                <w:rFonts w:ascii="Times New Roman" w:hAnsi="Times New Roman" w:cs="Times New Roman"/>
                <w:sz w:val="22"/>
              </w:rPr>
            </w:pPr>
            <w:r w:rsidRPr="00D5389E">
              <w:rPr>
                <w:rFonts w:ascii="Times New Roman" w:hAnsi="Times New Roman" w:cs="Times New Roman"/>
                <w:sz w:val="22"/>
              </w:rPr>
              <w:t>Сальдо денежных потоков от текущих операций</w:t>
            </w:r>
          </w:p>
        </w:tc>
        <w:tc>
          <w:tcPr>
            <w:tcW w:w="1433" w:type="pct"/>
          </w:tcPr>
          <w:p w14:paraId="6E615C90" w14:textId="77777777" w:rsidR="002512C2" w:rsidRPr="00D5389E" w:rsidRDefault="002512C2" w:rsidP="00596A91">
            <w:pPr>
              <w:pStyle w:val="ConsPlusNormal"/>
              <w:jc w:val="both"/>
              <w:rPr>
                <w:rFonts w:ascii="Times New Roman" w:hAnsi="Times New Roman" w:cs="Times New Roman"/>
                <w:sz w:val="22"/>
              </w:rPr>
            </w:pPr>
            <w:r w:rsidRPr="00D5389E">
              <w:rPr>
                <w:rFonts w:ascii="Times New Roman" w:hAnsi="Times New Roman" w:cs="Times New Roman"/>
                <w:sz w:val="22"/>
              </w:rPr>
              <w:t>Строка 4100 "Сальдо денежных потоков от текущих операций"</w:t>
            </w:r>
          </w:p>
        </w:tc>
        <w:tc>
          <w:tcPr>
            <w:tcW w:w="605" w:type="pct"/>
          </w:tcPr>
          <w:p w14:paraId="2828F19B"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(1 228 214)</w:t>
            </w:r>
          </w:p>
        </w:tc>
        <w:tc>
          <w:tcPr>
            <w:tcW w:w="605" w:type="pct"/>
          </w:tcPr>
          <w:p w14:paraId="45C9935C"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 w:val="22"/>
              </w:rPr>
              <w:t>(1 386 338)</w:t>
            </w:r>
          </w:p>
        </w:tc>
        <w:tc>
          <w:tcPr>
            <w:tcW w:w="605" w:type="pct"/>
          </w:tcPr>
          <w:p w14:paraId="72C63F08" w14:textId="4439C7ED" w:rsidR="002512C2" w:rsidRPr="006F3C10" w:rsidRDefault="000B5715" w:rsidP="00596A91">
            <w:pPr>
              <w:pStyle w:val="ConsPlusNormal"/>
              <w:jc w:val="both"/>
              <w:rPr>
                <w:rFonts w:ascii="Times New Roman" w:hAnsi="Times New Roman" w:cs="Times New Roman"/>
                <w:b/>
                <w:i/>
                <w:sz w:val="22"/>
              </w:rPr>
            </w:pPr>
            <w:r w:rsidRPr="006F3C10">
              <w:rPr>
                <w:rFonts w:ascii="Times New Roman" w:hAnsi="Times New Roman" w:cs="Times New Roman"/>
                <w:b/>
                <w:i/>
                <w:sz w:val="22"/>
              </w:rPr>
              <w:t>(867 367)</w:t>
            </w:r>
          </w:p>
        </w:tc>
      </w:tr>
      <w:tr w:rsidR="002512C2" w:rsidRPr="00D5389E" w14:paraId="70373F8F" w14:textId="3A6D0D0C" w:rsidTr="00B07DC1">
        <w:tc>
          <w:tcPr>
            <w:tcW w:w="202" w:type="pct"/>
          </w:tcPr>
          <w:p w14:paraId="33DB05D4"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7</w:t>
            </w:r>
          </w:p>
        </w:tc>
        <w:tc>
          <w:tcPr>
            <w:tcW w:w="1550" w:type="pct"/>
          </w:tcPr>
          <w:p w14:paraId="747B6C08"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Капитальные затраты</w:t>
            </w:r>
          </w:p>
        </w:tc>
        <w:tc>
          <w:tcPr>
            <w:tcW w:w="1433" w:type="pct"/>
          </w:tcPr>
          <w:p w14:paraId="3DEC5CD4"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Строка 4221 "Платежи в связи с приобретением, созданием, модернизацией, реконструкцией и подготовкой к использованию внеоборотных активов"</w:t>
            </w:r>
          </w:p>
        </w:tc>
        <w:tc>
          <w:tcPr>
            <w:tcW w:w="605" w:type="pct"/>
          </w:tcPr>
          <w:p w14:paraId="2FB1F67A"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w:t>
            </w:r>
          </w:p>
        </w:tc>
        <w:tc>
          <w:tcPr>
            <w:tcW w:w="605" w:type="pct"/>
          </w:tcPr>
          <w:p w14:paraId="59496868"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w:t>
            </w:r>
          </w:p>
        </w:tc>
        <w:tc>
          <w:tcPr>
            <w:tcW w:w="605" w:type="pct"/>
          </w:tcPr>
          <w:p w14:paraId="049A4893" w14:textId="77777777" w:rsidR="002512C2" w:rsidRPr="006F3C10" w:rsidRDefault="002512C2" w:rsidP="00596A91">
            <w:pPr>
              <w:pStyle w:val="ConsPlusNormal"/>
              <w:jc w:val="both"/>
              <w:rPr>
                <w:rFonts w:ascii="Times New Roman" w:hAnsi="Times New Roman" w:cs="Times New Roman"/>
                <w:b/>
                <w:i/>
                <w:szCs w:val="20"/>
              </w:rPr>
            </w:pPr>
          </w:p>
        </w:tc>
      </w:tr>
      <w:tr w:rsidR="002512C2" w:rsidRPr="00D5389E" w14:paraId="6B280AED" w14:textId="2DDEE042" w:rsidTr="00B07DC1">
        <w:tc>
          <w:tcPr>
            <w:tcW w:w="202" w:type="pct"/>
          </w:tcPr>
          <w:p w14:paraId="128E52BA"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8</w:t>
            </w:r>
          </w:p>
        </w:tc>
        <w:tc>
          <w:tcPr>
            <w:tcW w:w="1550" w:type="pct"/>
          </w:tcPr>
          <w:p w14:paraId="7908741F"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Свободный денежный поток</w:t>
            </w:r>
          </w:p>
        </w:tc>
        <w:tc>
          <w:tcPr>
            <w:tcW w:w="1433" w:type="pct"/>
          </w:tcPr>
          <w:p w14:paraId="545BBF33"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Денежные потоки от текущих операций (строка 4100) за вычетом денежных потоков от инвестиционных операций (строка 4200)</w:t>
            </w:r>
          </w:p>
        </w:tc>
        <w:tc>
          <w:tcPr>
            <w:tcW w:w="605" w:type="pct"/>
          </w:tcPr>
          <w:p w14:paraId="5EC2DDC5"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15 079</w:t>
            </w:r>
          </w:p>
        </w:tc>
        <w:tc>
          <w:tcPr>
            <w:tcW w:w="605" w:type="pct"/>
          </w:tcPr>
          <w:p w14:paraId="74C2AB06"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8 019</w:t>
            </w:r>
          </w:p>
        </w:tc>
        <w:tc>
          <w:tcPr>
            <w:tcW w:w="605" w:type="pct"/>
          </w:tcPr>
          <w:p w14:paraId="5A4E07EF" w14:textId="60D774C9"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10</w:t>
            </w:r>
          </w:p>
        </w:tc>
      </w:tr>
      <w:tr w:rsidR="002512C2" w:rsidRPr="00D5389E" w14:paraId="715824B9" w14:textId="7E93525B" w:rsidTr="00B07DC1">
        <w:tc>
          <w:tcPr>
            <w:tcW w:w="202" w:type="pct"/>
          </w:tcPr>
          <w:p w14:paraId="7A3808C6"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9</w:t>
            </w:r>
          </w:p>
        </w:tc>
        <w:tc>
          <w:tcPr>
            <w:tcW w:w="1550" w:type="pct"/>
          </w:tcPr>
          <w:p w14:paraId="52B59CAC"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Чистый долг</w:t>
            </w:r>
          </w:p>
        </w:tc>
        <w:tc>
          <w:tcPr>
            <w:tcW w:w="1433" w:type="pct"/>
          </w:tcPr>
          <w:p w14:paraId="1C485F5C"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Сумма долгосрочных заемных средств (строка 1410), краткосрочных заемных средств (строка 1510) и остаточной задолженности по лизинговым платежам за вычетом денежных средств и денежных эквивалентов (строка 1250)</w:t>
            </w:r>
          </w:p>
        </w:tc>
        <w:tc>
          <w:tcPr>
            <w:tcW w:w="605" w:type="pct"/>
          </w:tcPr>
          <w:p w14:paraId="1F7EFCFA"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14 192 794</w:t>
            </w:r>
          </w:p>
        </w:tc>
        <w:tc>
          <w:tcPr>
            <w:tcW w:w="605" w:type="pct"/>
          </w:tcPr>
          <w:p w14:paraId="65BBD145"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13 856 159</w:t>
            </w:r>
          </w:p>
        </w:tc>
        <w:tc>
          <w:tcPr>
            <w:tcW w:w="605" w:type="pct"/>
          </w:tcPr>
          <w:p w14:paraId="74CB7AE5" w14:textId="037D5848"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14 177 819</w:t>
            </w:r>
          </w:p>
        </w:tc>
      </w:tr>
      <w:tr w:rsidR="002512C2" w:rsidRPr="00D5389E" w14:paraId="06439955" w14:textId="3D369D8D" w:rsidTr="00B07DC1">
        <w:tc>
          <w:tcPr>
            <w:tcW w:w="202" w:type="pct"/>
          </w:tcPr>
          <w:p w14:paraId="5D85B32F"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10</w:t>
            </w:r>
          </w:p>
        </w:tc>
        <w:tc>
          <w:tcPr>
            <w:tcW w:w="1550" w:type="pct"/>
          </w:tcPr>
          <w:p w14:paraId="6D37F427"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Отношение чистого долга к EBITDA за предыдущие 12 месяцев</w:t>
            </w:r>
          </w:p>
        </w:tc>
        <w:tc>
          <w:tcPr>
            <w:tcW w:w="1433" w:type="pct"/>
          </w:tcPr>
          <w:p w14:paraId="169E7375"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Отношение чистого долга к EBITDA за предыдущие 12 месяцев</w:t>
            </w:r>
          </w:p>
        </w:tc>
        <w:tc>
          <w:tcPr>
            <w:tcW w:w="605" w:type="pct"/>
          </w:tcPr>
          <w:p w14:paraId="57C00992"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33.42</w:t>
            </w:r>
          </w:p>
        </w:tc>
        <w:tc>
          <w:tcPr>
            <w:tcW w:w="605" w:type="pct"/>
          </w:tcPr>
          <w:p w14:paraId="7D3C1D79"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2 257.44</w:t>
            </w:r>
          </w:p>
        </w:tc>
        <w:tc>
          <w:tcPr>
            <w:tcW w:w="605" w:type="pct"/>
          </w:tcPr>
          <w:p w14:paraId="7346F586" w14:textId="1FCCBB0A"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35 893.2</w:t>
            </w:r>
          </w:p>
        </w:tc>
      </w:tr>
      <w:tr w:rsidR="002512C2" w:rsidRPr="00D5389E" w14:paraId="1750DB3A" w14:textId="04460494" w:rsidTr="00B07DC1">
        <w:tc>
          <w:tcPr>
            <w:tcW w:w="202" w:type="pct"/>
          </w:tcPr>
          <w:p w14:paraId="6A5DF46B"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11</w:t>
            </w:r>
          </w:p>
        </w:tc>
        <w:tc>
          <w:tcPr>
            <w:tcW w:w="1550" w:type="pct"/>
          </w:tcPr>
          <w:p w14:paraId="3176A2F6" w14:textId="77777777" w:rsidR="002512C2" w:rsidRPr="00D5389E" w:rsidRDefault="002512C2" w:rsidP="00596A91">
            <w:pPr>
              <w:pStyle w:val="ConsPlusNormal"/>
              <w:ind w:firstLine="283"/>
              <w:jc w:val="both"/>
              <w:rPr>
                <w:rFonts w:ascii="Times New Roman" w:hAnsi="Times New Roman" w:cs="Times New Roman"/>
                <w:szCs w:val="20"/>
              </w:rPr>
            </w:pPr>
            <w:r w:rsidRPr="00D5389E">
              <w:rPr>
                <w:rFonts w:ascii="Times New Roman" w:hAnsi="Times New Roman" w:cs="Times New Roman"/>
                <w:szCs w:val="20"/>
              </w:rPr>
              <w:t>Рентабельность капитала (ROE), %</w:t>
            </w:r>
          </w:p>
        </w:tc>
        <w:tc>
          <w:tcPr>
            <w:tcW w:w="1433" w:type="pct"/>
          </w:tcPr>
          <w:p w14:paraId="2F567509" w14:textId="77777777" w:rsidR="002512C2" w:rsidRPr="00D5389E" w:rsidRDefault="002512C2" w:rsidP="00596A91">
            <w:pPr>
              <w:pStyle w:val="ConsPlusNormal"/>
              <w:jc w:val="both"/>
              <w:rPr>
                <w:rFonts w:ascii="Times New Roman" w:hAnsi="Times New Roman" w:cs="Times New Roman"/>
                <w:szCs w:val="20"/>
              </w:rPr>
            </w:pPr>
            <w:r w:rsidRPr="00D5389E">
              <w:rPr>
                <w:rFonts w:ascii="Times New Roman" w:hAnsi="Times New Roman" w:cs="Times New Roman"/>
                <w:szCs w:val="20"/>
              </w:rPr>
              <w:t>Отношение чистой прибыли (убытка) (строка 2400) к среднегодовому размеру капитала и резервов (строка 1300)</w:t>
            </w:r>
          </w:p>
        </w:tc>
        <w:tc>
          <w:tcPr>
            <w:tcW w:w="605" w:type="pct"/>
          </w:tcPr>
          <w:p w14:paraId="22D4A08E"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0</w:t>
            </w:r>
          </w:p>
        </w:tc>
        <w:tc>
          <w:tcPr>
            <w:tcW w:w="605" w:type="pct"/>
          </w:tcPr>
          <w:p w14:paraId="52202999" w14:textId="77777777" w:rsidR="002512C2" w:rsidRPr="006F3C10" w:rsidRDefault="002512C2"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0</w:t>
            </w:r>
          </w:p>
          <w:p w14:paraId="36E8AD65" w14:textId="77777777" w:rsidR="002512C2" w:rsidRPr="006F3C10" w:rsidRDefault="002512C2" w:rsidP="00596A91">
            <w:pPr>
              <w:pStyle w:val="ConsPlusNormal"/>
              <w:jc w:val="both"/>
              <w:rPr>
                <w:rFonts w:ascii="Times New Roman" w:hAnsi="Times New Roman" w:cs="Times New Roman"/>
                <w:b/>
                <w:i/>
                <w:szCs w:val="20"/>
              </w:rPr>
            </w:pPr>
          </w:p>
        </w:tc>
        <w:tc>
          <w:tcPr>
            <w:tcW w:w="605" w:type="pct"/>
          </w:tcPr>
          <w:p w14:paraId="0D2A4EA7" w14:textId="00EF228B" w:rsidR="002512C2" w:rsidRPr="006F3C10" w:rsidRDefault="000B5715" w:rsidP="00596A91">
            <w:pPr>
              <w:pStyle w:val="ConsPlusNormal"/>
              <w:jc w:val="both"/>
              <w:rPr>
                <w:rFonts w:ascii="Times New Roman" w:hAnsi="Times New Roman" w:cs="Times New Roman"/>
                <w:b/>
                <w:i/>
                <w:szCs w:val="20"/>
              </w:rPr>
            </w:pPr>
            <w:r w:rsidRPr="006F3C10">
              <w:rPr>
                <w:rFonts w:ascii="Times New Roman" w:hAnsi="Times New Roman" w:cs="Times New Roman"/>
                <w:b/>
                <w:i/>
                <w:szCs w:val="20"/>
              </w:rPr>
              <w:t>0.08</w:t>
            </w:r>
          </w:p>
        </w:tc>
      </w:tr>
      <w:bookmarkEnd w:id="16"/>
    </w:tbl>
    <w:p w14:paraId="13F70A41" w14:textId="77777777" w:rsidR="002A4244" w:rsidRPr="00D5389E" w:rsidRDefault="002A4244" w:rsidP="002A4244">
      <w:pPr>
        <w:adjustRightInd w:val="0"/>
        <w:ind w:firstLine="540"/>
        <w:jc w:val="both"/>
        <w:outlineLvl w:val="0"/>
      </w:pPr>
    </w:p>
    <w:p w14:paraId="07510C59" w14:textId="77777777" w:rsidR="002A4244" w:rsidRPr="006F3C10" w:rsidRDefault="002A4244" w:rsidP="00B07DC1">
      <w:pPr>
        <w:jc w:val="both"/>
        <w:rPr>
          <w:b/>
          <w:i/>
        </w:rPr>
      </w:pPr>
      <w:bookmarkStart w:id="18" w:name="_Toc96338351"/>
      <w:bookmarkStart w:id="19" w:name="_Toc96338447"/>
      <w:bookmarkStart w:id="20" w:name="_Toc96338543"/>
      <w:bookmarkStart w:id="21" w:name="_Toc96338817"/>
      <w:r w:rsidRPr="006F3C10">
        <w:rPr>
          <w:b/>
          <w:i/>
        </w:rPr>
        <w:t>Снижение показателей выручки, чистой прибыли за отчётный период по сравнению с аналогичными показателями прошлого года обусловлены существенным снижением процентных доходов Эмитента в результате прекращения ряда договоров</w:t>
      </w:r>
      <w:bookmarkEnd w:id="18"/>
      <w:bookmarkEnd w:id="19"/>
      <w:bookmarkEnd w:id="20"/>
      <w:bookmarkEnd w:id="21"/>
      <w:r w:rsidRPr="006F3C10">
        <w:rPr>
          <w:b/>
          <w:i/>
        </w:rPr>
        <w:t xml:space="preserve"> займов выданных.</w:t>
      </w:r>
    </w:p>
    <w:p w14:paraId="063C0F10" w14:textId="621C0B44" w:rsidR="00920E22" w:rsidRPr="006F3C10" w:rsidRDefault="00920E22" w:rsidP="00131BF7">
      <w:pPr>
        <w:adjustRightInd w:val="0"/>
        <w:spacing w:before="220"/>
        <w:ind w:left="-567"/>
        <w:jc w:val="both"/>
        <w:outlineLvl w:val="0"/>
        <w:rPr>
          <w:b/>
          <w:i/>
        </w:rPr>
      </w:pPr>
    </w:p>
    <w:p w14:paraId="491A81B9" w14:textId="77038BAF" w:rsidR="00920E22" w:rsidRPr="004F6B50" w:rsidRDefault="00B07DC1" w:rsidP="006F3C10">
      <w:pPr>
        <w:pStyle w:val="af2"/>
        <w:rPr>
          <w:rFonts w:ascii="Times New Roman" w:hAnsi="Times New Roman"/>
          <w:b/>
          <w:sz w:val="22"/>
          <w:szCs w:val="22"/>
        </w:rPr>
      </w:pPr>
      <w:bookmarkStart w:id="22" w:name="_Toc96338352"/>
      <w:bookmarkStart w:id="23" w:name="_Toc96338448"/>
      <w:bookmarkStart w:id="24" w:name="_Toc96338544"/>
      <w:bookmarkStart w:id="25" w:name="_Toc96338818"/>
      <w:bookmarkStart w:id="26" w:name="_Toc96347910"/>
      <w:r w:rsidRPr="004F6B50">
        <w:rPr>
          <w:rFonts w:ascii="Times New Roman" w:hAnsi="Times New Roman"/>
          <w:b/>
          <w:sz w:val="22"/>
          <w:szCs w:val="22"/>
        </w:rPr>
        <w:t>4</w:t>
      </w:r>
      <w:r w:rsidR="006F3C10" w:rsidRPr="004F6B50">
        <w:rPr>
          <w:rFonts w:ascii="Times New Roman" w:hAnsi="Times New Roman"/>
          <w:b/>
          <w:sz w:val="22"/>
          <w:szCs w:val="22"/>
        </w:rPr>
        <w:t>.</w:t>
      </w:r>
      <w:r w:rsidR="00861F02" w:rsidRPr="004F6B50">
        <w:rPr>
          <w:rFonts w:ascii="Times New Roman" w:hAnsi="Times New Roman"/>
          <w:b/>
          <w:sz w:val="22"/>
          <w:szCs w:val="22"/>
        </w:rPr>
        <w:t xml:space="preserve"> </w:t>
      </w:r>
      <w:r w:rsidR="006F3C10" w:rsidRPr="004F6B50">
        <w:rPr>
          <w:rFonts w:ascii="Times New Roman" w:hAnsi="Times New Roman"/>
          <w:b/>
          <w:sz w:val="22"/>
          <w:szCs w:val="22"/>
        </w:rPr>
        <w:t>СВЕДЕНИЯ ОБ ОСНОВНЫХ ПОСТАВЩИКАХ</w:t>
      </w:r>
      <w:r w:rsidR="00920E22" w:rsidRPr="004F6B50">
        <w:rPr>
          <w:rFonts w:ascii="Times New Roman" w:hAnsi="Times New Roman"/>
          <w:b/>
          <w:sz w:val="22"/>
          <w:szCs w:val="22"/>
        </w:rPr>
        <w:t xml:space="preserve">, </w:t>
      </w:r>
      <w:r w:rsidR="006F3C10" w:rsidRPr="004F6B50">
        <w:rPr>
          <w:rFonts w:ascii="Times New Roman" w:hAnsi="Times New Roman"/>
          <w:b/>
          <w:sz w:val="22"/>
          <w:szCs w:val="22"/>
        </w:rPr>
        <w:t>ИМЕЮЩИХ ДЛЯ ЭМИТЕНТА СУЩЕСТВЕННОЕ ЗНАЧЕНИЕ</w:t>
      </w:r>
      <w:bookmarkEnd w:id="22"/>
      <w:bookmarkEnd w:id="23"/>
      <w:bookmarkEnd w:id="24"/>
      <w:bookmarkEnd w:id="25"/>
      <w:bookmarkEnd w:id="26"/>
    </w:p>
    <w:p w14:paraId="18EF76CB" w14:textId="77777777" w:rsidR="00920E22" w:rsidRPr="00932B7F" w:rsidRDefault="00920E22" w:rsidP="00920E22">
      <w:pPr>
        <w:pStyle w:val="ac"/>
        <w:ind w:left="0"/>
        <w:rPr>
          <w:color w:val="002060"/>
        </w:rPr>
      </w:pPr>
    </w:p>
    <w:p w14:paraId="17B66DB5" w14:textId="77777777" w:rsidR="005E3E05" w:rsidRPr="00EF506F" w:rsidRDefault="005E3E05" w:rsidP="005E3E05">
      <w:pPr>
        <w:pStyle w:val="ac"/>
        <w:ind w:left="0"/>
        <w:jc w:val="both"/>
      </w:pPr>
      <w:bookmarkStart w:id="27" w:name="_Hlk114568298"/>
      <w:r w:rsidRPr="00EF506F">
        <w:t>Основные поставщики, доля которых превышает 10% от общей суммы приобретенных услуг:</w:t>
      </w:r>
    </w:p>
    <w:p w14:paraId="4C9B7106" w14:textId="77777777" w:rsidR="005E3E05" w:rsidRPr="00EF506F" w:rsidRDefault="005E3E05" w:rsidP="005E3E05">
      <w:pPr>
        <w:pStyle w:val="ac"/>
        <w:ind w:left="1428" w:firstLine="696"/>
        <w:jc w:val="both"/>
      </w:pPr>
    </w:p>
    <w:p w14:paraId="33638F34" w14:textId="77777777" w:rsidR="005E3E05" w:rsidRPr="00EF506F" w:rsidRDefault="005E3E05" w:rsidP="005E3E05">
      <w:pPr>
        <w:adjustRightInd w:val="0"/>
        <w:jc w:val="both"/>
        <w:rPr>
          <w:b/>
          <w:i/>
        </w:rPr>
      </w:pPr>
      <w:bookmarkStart w:id="28" w:name="_Hlk95827076"/>
      <w:r w:rsidRPr="00EF506F">
        <w:t xml:space="preserve">Полное фирменное наименование: </w:t>
      </w:r>
      <w:r w:rsidRPr="00EF506F">
        <w:rPr>
          <w:b/>
          <w:i/>
        </w:rPr>
        <w:t>Общество с ограниченной Ответственностью "ДДС"</w:t>
      </w:r>
    </w:p>
    <w:p w14:paraId="0D797DBC" w14:textId="77777777" w:rsidR="005E3E05" w:rsidRPr="00EF506F" w:rsidRDefault="005E3E05" w:rsidP="005E3E05">
      <w:pPr>
        <w:adjustRightInd w:val="0"/>
        <w:jc w:val="both"/>
      </w:pPr>
      <w:r w:rsidRPr="00EF506F">
        <w:rPr>
          <w:lang w:val="en-US"/>
        </w:rPr>
        <w:t>C</w:t>
      </w:r>
      <w:r w:rsidRPr="00EF506F">
        <w:t xml:space="preserve">окрещённое фирменное наименование: </w:t>
      </w:r>
      <w:r w:rsidRPr="00EF506F">
        <w:rPr>
          <w:b/>
          <w:i/>
        </w:rPr>
        <w:t>ООО "ДДС"</w:t>
      </w:r>
    </w:p>
    <w:p w14:paraId="08D9567D" w14:textId="77777777" w:rsidR="005E3E05" w:rsidRPr="00EF506F" w:rsidRDefault="005E3E05" w:rsidP="005E3E05">
      <w:pPr>
        <w:adjustRightInd w:val="0"/>
        <w:jc w:val="both"/>
      </w:pPr>
      <w:r w:rsidRPr="00EF506F">
        <w:t xml:space="preserve">ИНН: </w:t>
      </w:r>
      <w:r w:rsidRPr="00EF506F">
        <w:rPr>
          <w:b/>
          <w:i/>
        </w:rPr>
        <w:t>4705073502</w:t>
      </w:r>
    </w:p>
    <w:p w14:paraId="14D7ADF0" w14:textId="77777777" w:rsidR="005E3E05" w:rsidRPr="00EF506F" w:rsidRDefault="005E3E05" w:rsidP="005E3E05">
      <w:pPr>
        <w:adjustRightInd w:val="0"/>
        <w:jc w:val="both"/>
      </w:pPr>
      <w:r w:rsidRPr="00EF506F">
        <w:t xml:space="preserve">ОГРН: </w:t>
      </w:r>
      <w:r w:rsidRPr="00EF506F">
        <w:rPr>
          <w:b/>
          <w:i/>
        </w:rPr>
        <w:t>1174704006212</w:t>
      </w:r>
    </w:p>
    <w:p w14:paraId="31389054" w14:textId="77777777" w:rsidR="005E3E05" w:rsidRPr="00EF506F" w:rsidRDefault="005E3E05" w:rsidP="005E3E05">
      <w:pPr>
        <w:adjustRightInd w:val="0"/>
        <w:jc w:val="both"/>
      </w:pPr>
      <w:r w:rsidRPr="00EF506F">
        <w:t xml:space="preserve">Место нахождения: </w:t>
      </w:r>
      <w:r w:rsidRPr="00EF506F">
        <w:rPr>
          <w:b/>
          <w:i/>
        </w:rPr>
        <w:t>САНКТ-ПЕТЕРБУРГ, ДИВЕНСКАЯ УЛИЦА, ДОМ 3, ЛИТЕР Е, ПОМЕЩЕНИЕ 92</w:t>
      </w:r>
      <w:r w:rsidRPr="00EF506F">
        <w:rPr>
          <w:rStyle w:val="20"/>
          <w:rFonts w:ascii="Arial" w:hAnsi="Arial" w:cs="Arial"/>
          <w:bCs/>
          <w:iCs/>
          <w:color w:val="242423"/>
          <w:sz w:val="27"/>
          <w:szCs w:val="27"/>
          <w:shd w:val="clear" w:color="auto" w:fill="FFFFFF"/>
        </w:rPr>
        <w:t xml:space="preserve"> </w:t>
      </w:r>
    </w:p>
    <w:p w14:paraId="6205AC92" w14:textId="77777777" w:rsidR="005E3E05" w:rsidRPr="00EF506F" w:rsidRDefault="005E3E05" w:rsidP="005E3E05">
      <w:pPr>
        <w:adjustRightInd w:val="0"/>
        <w:ind w:firstLine="540"/>
        <w:jc w:val="both"/>
      </w:pPr>
      <w:r w:rsidRPr="00EF506F">
        <w:t xml:space="preserve">Описание поставленных услуг: </w:t>
      </w:r>
      <w:r w:rsidRPr="00EF506F">
        <w:rPr>
          <w:b/>
          <w:i/>
        </w:rPr>
        <w:t>аренда офисного помещения, кадровое администрирование, хранение документов.</w:t>
      </w:r>
    </w:p>
    <w:p w14:paraId="0EBA56E0" w14:textId="2596AD86" w:rsidR="005E3E05" w:rsidRPr="00EF506F" w:rsidRDefault="005E3E05" w:rsidP="005E3E05">
      <w:pPr>
        <w:adjustRightInd w:val="0"/>
        <w:ind w:firstLine="540"/>
        <w:jc w:val="both"/>
      </w:pPr>
      <w:r w:rsidRPr="00EF506F">
        <w:t>Доля поставщика в объеме поставок услуг</w:t>
      </w:r>
      <w:r w:rsidRPr="00EF506F">
        <w:rPr>
          <w:rStyle w:val="Subst"/>
          <w:iCs/>
        </w:rPr>
        <w:t xml:space="preserve">: </w:t>
      </w:r>
      <w:r w:rsidR="00513254">
        <w:rPr>
          <w:rStyle w:val="Subst"/>
          <w:iCs/>
        </w:rPr>
        <w:t>40</w:t>
      </w:r>
      <w:r w:rsidRPr="00EF506F">
        <w:rPr>
          <w:rStyle w:val="Subst"/>
          <w:iCs/>
        </w:rPr>
        <w:t>,</w:t>
      </w:r>
      <w:r w:rsidR="00513254">
        <w:rPr>
          <w:rStyle w:val="Subst"/>
          <w:iCs/>
        </w:rPr>
        <w:t>08</w:t>
      </w:r>
      <w:r w:rsidRPr="00EF506F">
        <w:rPr>
          <w:rStyle w:val="Subst"/>
          <w:iCs/>
        </w:rPr>
        <w:t>%</w:t>
      </w:r>
    </w:p>
    <w:p w14:paraId="1DA39031" w14:textId="77777777" w:rsidR="005E3E05" w:rsidRPr="006F3C10" w:rsidRDefault="005E3E05" w:rsidP="005E3E05">
      <w:pPr>
        <w:adjustRightInd w:val="0"/>
        <w:ind w:firstLine="540"/>
        <w:jc w:val="both"/>
        <w:rPr>
          <w:b/>
          <w:i/>
        </w:rPr>
      </w:pPr>
      <w:r w:rsidRPr="006F3C10">
        <w:rPr>
          <w:b/>
          <w:i/>
        </w:rPr>
        <w:t>Поставщик не является организацией, подконтрольной членам органов управления эмитента либо лицу, контролирующему эмитента.</w:t>
      </w:r>
    </w:p>
    <w:p w14:paraId="26DF5FD9" w14:textId="77777777" w:rsidR="005E3E05" w:rsidRPr="006F3C10" w:rsidRDefault="005E3E05" w:rsidP="005E3E05">
      <w:pPr>
        <w:pStyle w:val="ac"/>
        <w:ind w:left="1428" w:firstLine="696"/>
        <w:jc w:val="both"/>
        <w:rPr>
          <w:b/>
          <w:i/>
          <w:highlight w:val="yellow"/>
        </w:rPr>
      </w:pPr>
    </w:p>
    <w:p w14:paraId="0556DDF4" w14:textId="77777777" w:rsidR="005E3E05" w:rsidRPr="00EF506F" w:rsidRDefault="005E3E05" w:rsidP="005E3E05">
      <w:pPr>
        <w:adjustRightInd w:val="0"/>
        <w:jc w:val="both"/>
      </w:pPr>
      <w:r w:rsidRPr="00EF506F">
        <w:t xml:space="preserve">Полное фирменное наименование: </w:t>
      </w:r>
      <w:r w:rsidRPr="00EF506F">
        <w:rPr>
          <w:b/>
          <w:i/>
        </w:rPr>
        <w:t>ИНДИВИДУАЛЬНЫЙ ПРЕДПРИНИМАТЕЛЬ "ГАЛАЙ ИРИНА ВЛАДИМИРОВНА"</w:t>
      </w:r>
    </w:p>
    <w:p w14:paraId="708D985A" w14:textId="77777777" w:rsidR="005E3E05" w:rsidRPr="00EF506F" w:rsidRDefault="005E3E05" w:rsidP="005E3E05">
      <w:pPr>
        <w:adjustRightInd w:val="0"/>
        <w:jc w:val="both"/>
      </w:pPr>
      <w:r w:rsidRPr="00EF506F">
        <w:rPr>
          <w:lang w:val="en-US"/>
        </w:rPr>
        <w:t>C</w:t>
      </w:r>
      <w:r w:rsidRPr="00EF506F">
        <w:t xml:space="preserve">окрещённое фирменное наименование: </w:t>
      </w:r>
      <w:r w:rsidRPr="00EF506F">
        <w:rPr>
          <w:b/>
          <w:i/>
        </w:rPr>
        <w:t>ИП</w:t>
      </w:r>
      <w:r w:rsidRPr="00EF506F">
        <w:t xml:space="preserve"> </w:t>
      </w:r>
      <w:r w:rsidRPr="00EF506F">
        <w:rPr>
          <w:b/>
          <w:i/>
        </w:rPr>
        <w:t>"ГАЛАЙ ИРИНА ВЛАДИМИРОВНА"</w:t>
      </w:r>
    </w:p>
    <w:p w14:paraId="031AB62D" w14:textId="77777777" w:rsidR="005E3E05" w:rsidRPr="00EF506F" w:rsidRDefault="005E3E05" w:rsidP="005E3E05">
      <w:pPr>
        <w:adjustRightInd w:val="0"/>
        <w:jc w:val="both"/>
      </w:pPr>
      <w:r w:rsidRPr="00EF506F">
        <w:t xml:space="preserve">ИНН: </w:t>
      </w:r>
      <w:r w:rsidRPr="00EF506F">
        <w:rPr>
          <w:b/>
        </w:rPr>
        <w:t>782570116459</w:t>
      </w:r>
    </w:p>
    <w:p w14:paraId="32CB8B07" w14:textId="77777777" w:rsidR="005E3E05" w:rsidRPr="00EF506F" w:rsidRDefault="005E3E05" w:rsidP="005E3E05">
      <w:pPr>
        <w:adjustRightInd w:val="0"/>
        <w:jc w:val="both"/>
      </w:pPr>
      <w:r w:rsidRPr="00EF506F">
        <w:t xml:space="preserve">ОГРНИП: </w:t>
      </w:r>
      <w:r w:rsidRPr="00EF506F">
        <w:rPr>
          <w:b/>
        </w:rPr>
        <w:t>308784711300490</w:t>
      </w:r>
    </w:p>
    <w:p w14:paraId="45A16B9A" w14:textId="77777777" w:rsidR="005E3E05" w:rsidRPr="00EF506F" w:rsidRDefault="005E3E05" w:rsidP="005E3E05">
      <w:pPr>
        <w:adjustRightInd w:val="0"/>
        <w:ind w:firstLine="540"/>
        <w:jc w:val="both"/>
      </w:pPr>
      <w:r w:rsidRPr="00EF506F">
        <w:t xml:space="preserve">Описание поставленных услуг: </w:t>
      </w:r>
      <w:r w:rsidRPr="00EF506F">
        <w:rPr>
          <w:b/>
          <w:i/>
        </w:rPr>
        <w:t>консультационные услуги.</w:t>
      </w:r>
    </w:p>
    <w:p w14:paraId="5CA9DE8A" w14:textId="76117B7D" w:rsidR="005E3E05" w:rsidRPr="00EF506F" w:rsidRDefault="005E3E05" w:rsidP="005E3E05">
      <w:pPr>
        <w:adjustRightInd w:val="0"/>
        <w:ind w:firstLine="540"/>
        <w:jc w:val="both"/>
        <w:rPr>
          <w:rStyle w:val="Subst"/>
          <w:iCs/>
        </w:rPr>
      </w:pPr>
      <w:r w:rsidRPr="00EF506F">
        <w:t>Доля поставщика в объеме поставок услуг</w:t>
      </w:r>
      <w:r w:rsidRPr="00EF506F">
        <w:rPr>
          <w:i/>
        </w:rPr>
        <w:t xml:space="preserve">: </w:t>
      </w:r>
      <w:r w:rsidR="00513254">
        <w:rPr>
          <w:b/>
          <w:i/>
        </w:rPr>
        <w:t>27</w:t>
      </w:r>
      <w:r w:rsidRPr="00EF506F">
        <w:rPr>
          <w:rStyle w:val="Subst"/>
          <w:iCs/>
        </w:rPr>
        <w:t>,</w:t>
      </w:r>
      <w:r w:rsidR="00513254">
        <w:rPr>
          <w:rStyle w:val="Subst"/>
          <w:iCs/>
        </w:rPr>
        <w:t>7</w:t>
      </w:r>
      <w:r>
        <w:rPr>
          <w:rStyle w:val="Subst"/>
          <w:iCs/>
        </w:rPr>
        <w:t>6</w:t>
      </w:r>
      <w:r w:rsidRPr="00EF506F">
        <w:rPr>
          <w:rStyle w:val="Subst"/>
          <w:b w:val="0"/>
          <w:iCs/>
        </w:rPr>
        <w:t>%</w:t>
      </w:r>
    </w:p>
    <w:p w14:paraId="7BCB4E0A" w14:textId="77777777" w:rsidR="005E3E05" w:rsidRPr="006F3C10" w:rsidRDefault="005E3E05" w:rsidP="005E3E05">
      <w:pPr>
        <w:adjustRightInd w:val="0"/>
        <w:ind w:firstLine="540"/>
        <w:jc w:val="both"/>
        <w:rPr>
          <w:b/>
          <w:i/>
        </w:rPr>
      </w:pPr>
      <w:r w:rsidRPr="006F3C10">
        <w:rPr>
          <w:b/>
          <w:i/>
        </w:rPr>
        <w:t>Поставщик не является организацией, подконтрольной членам органов управления эмитента либо лицу, контролирующему эмитента.</w:t>
      </w:r>
    </w:p>
    <w:p w14:paraId="417DC3C7" w14:textId="77777777" w:rsidR="005E3E05" w:rsidRDefault="005E3E05" w:rsidP="005E3E05">
      <w:pPr>
        <w:adjustRightInd w:val="0"/>
        <w:ind w:firstLine="540"/>
        <w:jc w:val="both"/>
      </w:pPr>
    </w:p>
    <w:p w14:paraId="10CC83BC" w14:textId="77777777" w:rsidR="005E3E05" w:rsidRPr="00EF506F" w:rsidRDefault="005E3E05" w:rsidP="005E3E05">
      <w:pPr>
        <w:adjustRightInd w:val="0"/>
        <w:ind w:firstLine="540"/>
        <w:jc w:val="both"/>
      </w:pPr>
    </w:p>
    <w:p w14:paraId="10E67FFE" w14:textId="77777777" w:rsidR="005E3E05" w:rsidRPr="00EF506F" w:rsidRDefault="005E3E05" w:rsidP="005E3E05">
      <w:pPr>
        <w:adjustRightInd w:val="0"/>
        <w:jc w:val="both"/>
        <w:rPr>
          <w:b/>
          <w:i/>
        </w:rPr>
      </w:pPr>
      <w:r w:rsidRPr="00EF506F">
        <w:lastRenderedPageBreak/>
        <w:t xml:space="preserve">Полное фирменное наименование: </w:t>
      </w:r>
      <w:r w:rsidRPr="00EF506F">
        <w:rPr>
          <w:b/>
          <w:i/>
        </w:rPr>
        <w:t>ОБЩЕСТВО С ОГРАНИЧЕННОЙ ОТВЕТСТВЕННОСТЬЮ "АСТ-АУДИТ"</w:t>
      </w:r>
    </w:p>
    <w:p w14:paraId="75C8EBB1" w14:textId="77777777" w:rsidR="005E3E05" w:rsidRPr="00EF506F" w:rsidRDefault="005E3E05" w:rsidP="005E3E05">
      <w:pPr>
        <w:adjustRightInd w:val="0"/>
        <w:jc w:val="both"/>
      </w:pPr>
      <w:r w:rsidRPr="00EF506F">
        <w:rPr>
          <w:lang w:val="en-US"/>
        </w:rPr>
        <w:t>C</w:t>
      </w:r>
      <w:r w:rsidRPr="00EF506F">
        <w:t>окрещённое фирменное наименование</w:t>
      </w:r>
      <w:r w:rsidRPr="00EF506F">
        <w:rPr>
          <w:rStyle w:val="Subst"/>
          <w:bCs/>
          <w:iCs/>
        </w:rPr>
        <w:t xml:space="preserve">: </w:t>
      </w:r>
      <w:r w:rsidRPr="00EF506F">
        <w:rPr>
          <w:b/>
          <w:i/>
        </w:rPr>
        <w:t>ООО</w:t>
      </w:r>
      <w:r w:rsidRPr="00EF506F">
        <w:t xml:space="preserve"> </w:t>
      </w:r>
      <w:r w:rsidRPr="00EF506F">
        <w:rPr>
          <w:b/>
          <w:i/>
        </w:rPr>
        <w:t>" АСТ-АУДИТ "</w:t>
      </w:r>
    </w:p>
    <w:p w14:paraId="3806DCE3" w14:textId="77777777" w:rsidR="005E3E05" w:rsidRPr="00EF506F" w:rsidRDefault="005E3E05" w:rsidP="005E3E05">
      <w:pPr>
        <w:adjustRightInd w:val="0"/>
        <w:jc w:val="both"/>
      </w:pPr>
      <w:r w:rsidRPr="00EF506F">
        <w:t xml:space="preserve">ИНН: </w:t>
      </w:r>
      <w:r w:rsidRPr="00EF506F">
        <w:rPr>
          <w:b/>
        </w:rPr>
        <w:t>7840443240</w:t>
      </w:r>
    </w:p>
    <w:p w14:paraId="7A54C668" w14:textId="77777777" w:rsidR="005E3E05" w:rsidRPr="00EF506F" w:rsidRDefault="005E3E05" w:rsidP="005E3E05">
      <w:pPr>
        <w:adjustRightInd w:val="0"/>
        <w:jc w:val="both"/>
      </w:pPr>
      <w:r w:rsidRPr="00EF506F">
        <w:t xml:space="preserve">ОГРН: </w:t>
      </w:r>
      <w:r w:rsidRPr="00EF506F">
        <w:rPr>
          <w:b/>
        </w:rPr>
        <w:t>1109847030787</w:t>
      </w:r>
    </w:p>
    <w:p w14:paraId="214C6ABC" w14:textId="77777777" w:rsidR="005E3E05" w:rsidRPr="00EF506F" w:rsidRDefault="005E3E05" w:rsidP="005E3E05">
      <w:pPr>
        <w:jc w:val="both"/>
      </w:pPr>
      <w:r w:rsidRPr="00EF506F">
        <w:t xml:space="preserve">Место нахождения: </w:t>
      </w:r>
      <w:r w:rsidRPr="00EF506F">
        <w:rPr>
          <w:rStyle w:val="Subst"/>
        </w:rPr>
        <w:t xml:space="preserve">191119, САНКТ-ПЕТЕРБУРГ, ЛИГОВСКИЙ ПР., ДОМ 111-113-115 ЛИТ. В, ПОМ. 27н, ОФИС 47 </w:t>
      </w:r>
    </w:p>
    <w:p w14:paraId="0BA777F4" w14:textId="77777777" w:rsidR="005E3E05" w:rsidRPr="00EF506F" w:rsidRDefault="005E3E05" w:rsidP="005E3E05">
      <w:pPr>
        <w:adjustRightInd w:val="0"/>
        <w:ind w:firstLine="540"/>
        <w:jc w:val="both"/>
      </w:pPr>
      <w:r w:rsidRPr="00EF506F">
        <w:t xml:space="preserve">Описание поставленных услуг: </w:t>
      </w:r>
      <w:r w:rsidRPr="00EF506F">
        <w:rPr>
          <w:b/>
          <w:i/>
        </w:rPr>
        <w:t>аудиторские услуги.</w:t>
      </w:r>
    </w:p>
    <w:p w14:paraId="32B19452" w14:textId="00673658" w:rsidR="005E3E05" w:rsidRPr="00EF506F" w:rsidRDefault="005E3E05" w:rsidP="005E3E05">
      <w:pPr>
        <w:adjustRightInd w:val="0"/>
        <w:ind w:firstLine="540"/>
        <w:jc w:val="both"/>
        <w:rPr>
          <w:rStyle w:val="Subst"/>
          <w:iCs/>
        </w:rPr>
      </w:pPr>
      <w:r w:rsidRPr="00EF506F">
        <w:t>Доля поставщика в объеме поставок услуг</w:t>
      </w:r>
      <w:r w:rsidRPr="00EF506F">
        <w:rPr>
          <w:i/>
        </w:rPr>
        <w:t xml:space="preserve">: </w:t>
      </w:r>
      <w:r w:rsidRPr="00EF506F">
        <w:rPr>
          <w:rStyle w:val="Subst"/>
          <w:iCs/>
        </w:rPr>
        <w:t>1</w:t>
      </w:r>
      <w:r w:rsidR="00513254">
        <w:rPr>
          <w:rStyle w:val="Subst"/>
          <w:iCs/>
        </w:rPr>
        <w:t>0</w:t>
      </w:r>
      <w:r w:rsidRPr="00EF506F">
        <w:rPr>
          <w:rStyle w:val="Subst"/>
          <w:iCs/>
        </w:rPr>
        <w:t>,</w:t>
      </w:r>
      <w:r w:rsidR="00513254">
        <w:rPr>
          <w:rStyle w:val="Subst"/>
          <w:iCs/>
        </w:rPr>
        <w:t>90</w:t>
      </w:r>
      <w:r w:rsidRPr="00EF506F">
        <w:rPr>
          <w:rStyle w:val="Subst"/>
          <w:b w:val="0"/>
          <w:iCs/>
        </w:rPr>
        <w:t>%</w:t>
      </w:r>
    </w:p>
    <w:p w14:paraId="6193EEF8" w14:textId="77777777" w:rsidR="005E3E05" w:rsidRPr="006F3C10" w:rsidRDefault="005E3E05" w:rsidP="005E3E05">
      <w:pPr>
        <w:adjustRightInd w:val="0"/>
        <w:ind w:firstLine="540"/>
        <w:jc w:val="both"/>
        <w:rPr>
          <w:b/>
          <w:i/>
        </w:rPr>
      </w:pPr>
      <w:r w:rsidRPr="006F3C10">
        <w:rPr>
          <w:b/>
          <w:i/>
        </w:rPr>
        <w:t>Поставщик не является организацией, подконтрольной членам органов управления эмитента либо лицу, контролирующему эмитента.</w:t>
      </w:r>
    </w:p>
    <w:p w14:paraId="520AD091" w14:textId="77777777" w:rsidR="005E3E05" w:rsidRDefault="005E3E05" w:rsidP="005E3E05">
      <w:pPr>
        <w:adjustRightInd w:val="0"/>
        <w:ind w:firstLine="540"/>
        <w:jc w:val="both"/>
        <w:rPr>
          <w:highlight w:val="yellow"/>
        </w:rPr>
      </w:pPr>
    </w:p>
    <w:bookmarkEnd w:id="27"/>
    <w:bookmarkEnd w:id="28"/>
    <w:p w14:paraId="3278B94E" w14:textId="6EAEC9E3" w:rsidR="005E3E05" w:rsidRDefault="005E3E05" w:rsidP="005E3E05">
      <w:pPr>
        <w:pStyle w:val="ac"/>
        <w:ind w:left="1428" w:firstLine="696"/>
        <w:jc w:val="both"/>
        <w:rPr>
          <w:highlight w:val="yellow"/>
        </w:rPr>
      </w:pPr>
    </w:p>
    <w:p w14:paraId="4283FB5B" w14:textId="5C4EAF7E" w:rsidR="00FB254C" w:rsidRDefault="00FB254C" w:rsidP="005E3E05">
      <w:pPr>
        <w:pStyle w:val="ac"/>
        <w:ind w:left="1428" w:firstLine="696"/>
        <w:jc w:val="both"/>
        <w:rPr>
          <w:highlight w:val="yellow"/>
        </w:rPr>
      </w:pPr>
    </w:p>
    <w:p w14:paraId="51AF6205" w14:textId="61A0912E" w:rsidR="00FB254C" w:rsidRDefault="00FB254C" w:rsidP="005E3E05">
      <w:pPr>
        <w:pStyle w:val="ac"/>
        <w:ind w:left="1428" w:firstLine="696"/>
        <w:jc w:val="both"/>
        <w:rPr>
          <w:highlight w:val="yellow"/>
        </w:rPr>
      </w:pPr>
    </w:p>
    <w:p w14:paraId="67EE8C71" w14:textId="77777777" w:rsidR="00FB254C" w:rsidRPr="003E5DB2" w:rsidRDefault="00FB254C" w:rsidP="005E3E05">
      <w:pPr>
        <w:pStyle w:val="ac"/>
        <w:ind w:left="1428" w:firstLine="696"/>
        <w:jc w:val="both"/>
        <w:rPr>
          <w:highlight w:val="yellow"/>
        </w:rPr>
      </w:pPr>
    </w:p>
    <w:p w14:paraId="507FF01A" w14:textId="77777777" w:rsidR="004F6B50" w:rsidRDefault="00B07DC1" w:rsidP="006F3C10">
      <w:pPr>
        <w:pStyle w:val="af2"/>
        <w:rPr>
          <w:rFonts w:ascii="Times New Roman" w:hAnsi="Times New Roman"/>
          <w:b/>
          <w:sz w:val="22"/>
          <w:szCs w:val="22"/>
        </w:rPr>
      </w:pPr>
      <w:bookmarkStart w:id="29" w:name="_Toc96338353"/>
      <w:bookmarkStart w:id="30" w:name="_Toc96338449"/>
      <w:bookmarkStart w:id="31" w:name="_Toc96338545"/>
      <w:bookmarkStart w:id="32" w:name="_Toc96338819"/>
      <w:bookmarkStart w:id="33" w:name="_Toc177649257"/>
      <w:r w:rsidRPr="004F6B50">
        <w:rPr>
          <w:rFonts w:ascii="Times New Roman" w:hAnsi="Times New Roman"/>
          <w:b/>
          <w:sz w:val="22"/>
          <w:szCs w:val="22"/>
        </w:rPr>
        <w:t>5</w:t>
      </w:r>
      <w:r w:rsidR="00861F02" w:rsidRPr="004F6B50">
        <w:rPr>
          <w:rFonts w:ascii="Times New Roman" w:hAnsi="Times New Roman"/>
          <w:b/>
          <w:sz w:val="22"/>
          <w:szCs w:val="22"/>
        </w:rPr>
        <w:t xml:space="preserve">. </w:t>
      </w:r>
      <w:r w:rsidR="001F687A" w:rsidRPr="004F6B50">
        <w:rPr>
          <w:rFonts w:ascii="Times New Roman" w:hAnsi="Times New Roman"/>
          <w:b/>
          <w:sz w:val="22"/>
          <w:szCs w:val="22"/>
        </w:rPr>
        <w:t>СВЕДЕНИЯ ОБ ОСНОВНЫХ ДЕБИТОРАХ</w:t>
      </w:r>
      <w:r w:rsidR="005E3E05" w:rsidRPr="004F6B50">
        <w:rPr>
          <w:rFonts w:ascii="Times New Roman" w:hAnsi="Times New Roman"/>
          <w:b/>
          <w:sz w:val="22"/>
          <w:szCs w:val="22"/>
        </w:rPr>
        <w:t xml:space="preserve">, </w:t>
      </w:r>
    </w:p>
    <w:p w14:paraId="5C69B62F" w14:textId="1B275F4E" w:rsidR="005E3E05" w:rsidRPr="004F6B50" w:rsidRDefault="001F687A" w:rsidP="006F3C10">
      <w:pPr>
        <w:pStyle w:val="af2"/>
        <w:rPr>
          <w:rFonts w:ascii="Times New Roman" w:hAnsi="Times New Roman"/>
          <w:b/>
          <w:sz w:val="22"/>
          <w:szCs w:val="22"/>
        </w:rPr>
      </w:pPr>
      <w:r w:rsidRPr="004F6B50">
        <w:rPr>
          <w:rFonts w:ascii="Times New Roman" w:hAnsi="Times New Roman"/>
          <w:b/>
          <w:sz w:val="22"/>
          <w:szCs w:val="22"/>
        </w:rPr>
        <w:t>ИМЕЮЩИХ ДЛЯ ЭМИТЕНТА СУЩЕСТВЕННОЕ ЗНАЧЕНИЕ</w:t>
      </w:r>
      <w:bookmarkEnd w:id="29"/>
      <w:bookmarkEnd w:id="30"/>
      <w:bookmarkEnd w:id="31"/>
      <w:bookmarkEnd w:id="32"/>
      <w:bookmarkEnd w:id="33"/>
    </w:p>
    <w:p w14:paraId="5E7F0289" w14:textId="77777777" w:rsidR="005E3E05" w:rsidRPr="004F6B50" w:rsidRDefault="005E3E05" w:rsidP="005E3E05">
      <w:pPr>
        <w:pStyle w:val="ac"/>
        <w:jc w:val="both"/>
      </w:pPr>
    </w:p>
    <w:p w14:paraId="49913D53" w14:textId="77777777" w:rsidR="005E3E05" w:rsidRPr="00656F58" w:rsidRDefault="005E3E05" w:rsidP="005E3E05">
      <w:pPr>
        <w:pStyle w:val="ac"/>
        <w:ind w:left="0"/>
        <w:jc w:val="both"/>
      </w:pPr>
      <w:r w:rsidRPr="00656F58">
        <w:t>Основные дебиторы, доля которых превышает 10% от общей суммы дебиторской задолженности:</w:t>
      </w:r>
    </w:p>
    <w:p w14:paraId="63EA8725" w14:textId="77777777" w:rsidR="005E3E05" w:rsidRPr="00656F58" w:rsidRDefault="005E3E05" w:rsidP="005E3E05">
      <w:pPr>
        <w:pStyle w:val="ac"/>
        <w:ind w:left="1428" w:firstLine="696"/>
        <w:jc w:val="both"/>
      </w:pPr>
    </w:p>
    <w:p w14:paraId="374F8928" w14:textId="77777777" w:rsidR="005E3E05" w:rsidRPr="00656F58" w:rsidRDefault="005E3E05" w:rsidP="005E3E05">
      <w:pPr>
        <w:adjustRightInd w:val="0"/>
        <w:jc w:val="both"/>
      </w:pPr>
      <w:r w:rsidRPr="00656F58">
        <w:t xml:space="preserve">Полное фирменное наименование: </w:t>
      </w:r>
      <w:r w:rsidRPr="00656F58">
        <w:rPr>
          <w:rStyle w:val="Subst"/>
          <w:bCs/>
          <w:iCs/>
        </w:rPr>
        <w:t>ОБЩЕСТВО С ОГРАНИЧЕННОЙ ОТВЕТСТВЕННОСТЬЮ "ТЕТРАЭКОНОМАЛЬЯНС"</w:t>
      </w:r>
    </w:p>
    <w:p w14:paraId="014DA0E5" w14:textId="77777777" w:rsidR="005E3E05" w:rsidRPr="00656F58" w:rsidRDefault="005E3E05" w:rsidP="005E3E05">
      <w:pPr>
        <w:adjustRightInd w:val="0"/>
        <w:jc w:val="both"/>
      </w:pPr>
      <w:r w:rsidRPr="00656F58">
        <w:rPr>
          <w:lang w:val="en-US"/>
        </w:rPr>
        <w:t>C</w:t>
      </w:r>
      <w:r w:rsidRPr="00656F58">
        <w:t>окрещённое фирменное наименование</w:t>
      </w:r>
      <w:r w:rsidRPr="00656F58">
        <w:rPr>
          <w:rStyle w:val="Subst"/>
          <w:bCs/>
          <w:iCs/>
        </w:rPr>
        <w:t xml:space="preserve">: ООО </w:t>
      </w:r>
      <w:r w:rsidRPr="00656F58">
        <w:rPr>
          <w:rStyle w:val="Subst"/>
          <w:bCs/>
          <w:i w:val="0"/>
        </w:rPr>
        <w:t>"</w:t>
      </w:r>
      <w:r w:rsidRPr="00656F58">
        <w:rPr>
          <w:rStyle w:val="Subst"/>
          <w:bCs/>
          <w:iCs/>
        </w:rPr>
        <w:t>ТЕТРАЭКОНОМАЛЬЯНС"</w:t>
      </w:r>
    </w:p>
    <w:p w14:paraId="1A22311C" w14:textId="77777777" w:rsidR="005E3E05" w:rsidRPr="00656F58" w:rsidRDefault="005E3E05" w:rsidP="005E3E05">
      <w:pPr>
        <w:jc w:val="both"/>
        <w:rPr>
          <w:rStyle w:val="Subst"/>
        </w:rPr>
      </w:pPr>
      <w:r w:rsidRPr="00656F58">
        <w:t>Место нахождения:</w:t>
      </w:r>
      <w:r w:rsidRPr="00656F58">
        <w:rPr>
          <w:bCs/>
          <w:iCs/>
        </w:rPr>
        <w:t xml:space="preserve"> </w:t>
      </w:r>
      <w:r w:rsidRPr="00656F58">
        <w:rPr>
          <w:rStyle w:val="Subst"/>
          <w:bCs/>
          <w:iCs/>
        </w:rPr>
        <w:t>115184, Г. МОСКВА, ВН. ТЕР. Г. МУНИЦИПАЛЬНЫЙ ОКРУГ ЗАМОСКВОРЕЧЬЕ, СТАРЫЙ ТОЛМАЧЁВСКИЙ ПЕР., Д. 5, ЭТАЖ 6, ПОМЕЩ. XX, ЧАСТЬ КОМНАТЫ 53</w:t>
      </w:r>
    </w:p>
    <w:p w14:paraId="2CC2B054" w14:textId="77777777" w:rsidR="005E3E05" w:rsidRPr="00656F58" w:rsidRDefault="005E3E05" w:rsidP="005E3E05">
      <w:pPr>
        <w:jc w:val="both"/>
      </w:pPr>
      <w:r w:rsidRPr="00656F58">
        <w:t xml:space="preserve">ИНН </w:t>
      </w:r>
      <w:r w:rsidRPr="00656F58">
        <w:rPr>
          <w:rStyle w:val="Subst"/>
          <w:bCs/>
          <w:iCs/>
        </w:rPr>
        <w:t>9705131087</w:t>
      </w:r>
    </w:p>
    <w:p w14:paraId="43F34B7D" w14:textId="77777777" w:rsidR="005E3E05" w:rsidRPr="00656F58" w:rsidRDefault="005E3E05" w:rsidP="005E3E05">
      <w:pPr>
        <w:jc w:val="both"/>
      </w:pPr>
      <w:r w:rsidRPr="00656F58">
        <w:t xml:space="preserve">ОГРН </w:t>
      </w:r>
      <w:r w:rsidRPr="00656F58">
        <w:rPr>
          <w:rStyle w:val="Subst"/>
          <w:bCs/>
          <w:iCs/>
        </w:rPr>
        <w:t>1197746254056</w:t>
      </w:r>
    </w:p>
    <w:p w14:paraId="11747CF2" w14:textId="77777777" w:rsidR="00513254" w:rsidRPr="00656F58" w:rsidRDefault="00513254" w:rsidP="00513254">
      <w:pPr>
        <w:adjustRightInd w:val="0"/>
        <w:jc w:val="both"/>
      </w:pPr>
      <w:r w:rsidRPr="00656F58">
        <w:t>Сумма дебиторской задолженности</w:t>
      </w:r>
      <w:r w:rsidRPr="00656F58">
        <w:rPr>
          <w:rStyle w:val="Subst"/>
          <w:bCs/>
          <w:iCs/>
        </w:rPr>
        <w:t>: 18 437 548</w:t>
      </w:r>
      <w:r>
        <w:t xml:space="preserve"> </w:t>
      </w:r>
      <w:r w:rsidRPr="00656F58">
        <w:rPr>
          <w:rStyle w:val="Subst"/>
          <w:bCs/>
          <w:iCs/>
        </w:rPr>
        <w:t>тыс. рублей</w:t>
      </w:r>
      <w:r w:rsidRPr="00656F58">
        <w:rPr>
          <w:color w:val="002060"/>
        </w:rPr>
        <w:t> </w:t>
      </w:r>
    </w:p>
    <w:p w14:paraId="3CEA1A52" w14:textId="77777777" w:rsidR="00513254" w:rsidRPr="00656F58" w:rsidRDefault="00513254" w:rsidP="00513254">
      <w:pPr>
        <w:adjustRightInd w:val="0"/>
        <w:jc w:val="both"/>
      </w:pPr>
      <w:r w:rsidRPr="00656F58">
        <w:t>Доля основного дебитора в объеме дебиторской задолженности:</w:t>
      </w:r>
      <w:r w:rsidRPr="00656F58">
        <w:rPr>
          <w:color w:val="002060"/>
        </w:rPr>
        <w:t xml:space="preserve"> </w:t>
      </w:r>
      <w:r w:rsidRPr="00656F58">
        <w:rPr>
          <w:rStyle w:val="Subst"/>
          <w:bCs/>
          <w:iCs/>
        </w:rPr>
        <w:t>100%</w:t>
      </w:r>
    </w:p>
    <w:p w14:paraId="598D14C7" w14:textId="77777777" w:rsidR="005E3E05" w:rsidRPr="006F3C10" w:rsidRDefault="005E3E05" w:rsidP="005E3E05">
      <w:pPr>
        <w:adjustRightInd w:val="0"/>
        <w:jc w:val="both"/>
        <w:rPr>
          <w:b/>
          <w:i/>
        </w:rPr>
      </w:pPr>
      <w:r w:rsidRPr="006F3C10">
        <w:rPr>
          <w:b/>
          <w:i/>
        </w:rPr>
        <w:t>Просроченная дебиторская задолженность отсутствует.</w:t>
      </w:r>
    </w:p>
    <w:p w14:paraId="14875CD0" w14:textId="07110C38" w:rsidR="00920E22" w:rsidRDefault="00920E22" w:rsidP="00920E22">
      <w:pPr>
        <w:ind w:firstLine="708"/>
        <w:rPr>
          <w:color w:val="002060"/>
        </w:rPr>
      </w:pPr>
    </w:p>
    <w:p w14:paraId="340E7159" w14:textId="77777777" w:rsidR="00FB254C" w:rsidRPr="00932B7F" w:rsidRDefault="00FB254C" w:rsidP="00920E22">
      <w:pPr>
        <w:ind w:firstLine="708"/>
        <w:rPr>
          <w:color w:val="002060"/>
        </w:rPr>
      </w:pPr>
    </w:p>
    <w:p w14:paraId="46332866" w14:textId="18D2DA86" w:rsidR="00920E22" w:rsidRPr="004F6B50" w:rsidRDefault="00B07DC1" w:rsidP="006F3C10">
      <w:pPr>
        <w:pStyle w:val="af2"/>
        <w:rPr>
          <w:rFonts w:ascii="Times New Roman" w:hAnsi="Times New Roman"/>
          <w:b/>
          <w:sz w:val="22"/>
          <w:szCs w:val="22"/>
        </w:rPr>
      </w:pPr>
      <w:bookmarkStart w:id="34" w:name="_Toc96338354"/>
      <w:bookmarkStart w:id="35" w:name="_Toc96338450"/>
      <w:bookmarkStart w:id="36" w:name="_Toc96338546"/>
      <w:bookmarkStart w:id="37" w:name="_Toc96338820"/>
      <w:bookmarkStart w:id="38" w:name="_Toc96347912"/>
      <w:r w:rsidRPr="004F6B50">
        <w:rPr>
          <w:rFonts w:ascii="Times New Roman" w:hAnsi="Times New Roman"/>
          <w:b/>
          <w:sz w:val="22"/>
          <w:szCs w:val="22"/>
        </w:rPr>
        <w:t>6</w:t>
      </w:r>
      <w:r w:rsidR="00920E22" w:rsidRPr="004F6B50">
        <w:rPr>
          <w:rFonts w:ascii="Times New Roman" w:hAnsi="Times New Roman"/>
          <w:b/>
          <w:sz w:val="22"/>
          <w:szCs w:val="22"/>
        </w:rPr>
        <w:t xml:space="preserve">. </w:t>
      </w:r>
      <w:r w:rsidR="006F3C10" w:rsidRPr="004F6B50">
        <w:rPr>
          <w:rFonts w:ascii="Times New Roman" w:hAnsi="Times New Roman"/>
          <w:b/>
          <w:sz w:val="22"/>
          <w:szCs w:val="22"/>
        </w:rPr>
        <w:t>СВЕДЕНИЯ ОБ ОБЯЗАТЕЛЬСТВАХ ЭМИТЕНТА</w:t>
      </w:r>
      <w:bookmarkEnd w:id="34"/>
      <w:bookmarkEnd w:id="35"/>
      <w:bookmarkEnd w:id="36"/>
      <w:bookmarkEnd w:id="37"/>
      <w:bookmarkEnd w:id="38"/>
    </w:p>
    <w:p w14:paraId="33A19B3C" w14:textId="77777777" w:rsidR="00920E22" w:rsidRPr="00932B7F" w:rsidRDefault="00920E22" w:rsidP="00920E22"/>
    <w:p w14:paraId="59CD1FE4" w14:textId="1521BC0F" w:rsidR="00920E22" w:rsidRPr="004F6B50" w:rsidRDefault="00920E22" w:rsidP="004F6B50">
      <w:pPr>
        <w:pStyle w:val="af2"/>
        <w:jc w:val="left"/>
        <w:rPr>
          <w:rFonts w:ascii="Times New Roman" w:hAnsi="Times New Roman"/>
          <w:sz w:val="22"/>
          <w:szCs w:val="22"/>
        </w:rPr>
      </w:pPr>
      <w:bookmarkStart w:id="39" w:name="_Toc96338355"/>
      <w:bookmarkStart w:id="40" w:name="_Toc96338451"/>
      <w:bookmarkStart w:id="41" w:name="_Toc96338547"/>
      <w:bookmarkStart w:id="42" w:name="_Toc96338821"/>
      <w:bookmarkStart w:id="43" w:name="_Toc96347913"/>
      <w:r w:rsidRPr="004F6B50">
        <w:rPr>
          <w:rFonts w:ascii="Times New Roman" w:hAnsi="Times New Roman"/>
          <w:sz w:val="22"/>
          <w:szCs w:val="22"/>
        </w:rPr>
        <w:t>Сведения об основных кредиторах, имеющих для эмитента существенное значение</w:t>
      </w:r>
      <w:bookmarkEnd w:id="39"/>
      <w:bookmarkEnd w:id="40"/>
      <w:bookmarkEnd w:id="41"/>
      <w:bookmarkEnd w:id="42"/>
      <w:bookmarkEnd w:id="43"/>
      <w:r w:rsidR="004F6B50" w:rsidRPr="004F6B50">
        <w:rPr>
          <w:rFonts w:ascii="Times New Roman" w:hAnsi="Times New Roman"/>
          <w:sz w:val="22"/>
          <w:szCs w:val="22"/>
        </w:rPr>
        <w:t>:</w:t>
      </w:r>
    </w:p>
    <w:p w14:paraId="2D4D5887" w14:textId="77777777" w:rsidR="00920E22" w:rsidRPr="00932B7F" w:rsidRDefault="00920E22" w:rsidP="00920E22">
      <w:pPr>
        <w:adjustRightInd w:val="0"/>
        <w:ind w:firstLine="540"/>
        <w:jc w:val="both"/>
        <w:outlineLvl w:val="1"/>
      </w:pPr>
    </w:p>
    <w:p w14:paraId="30E32289" w14:textId="2AC453CC" w:rsidR="00920E22" w:rsidRPr="006F3C10" w:rsidRDefault="006F3C10" w:rsidP="00920E22">
      <w:pPr>
        <w:adjustRightInd w:val="0"/>
        <w:jc w:val="both"/>
        <w:outlineLvl w:val="1"/>
        <w:rPr>
          <w:b/>
          <w:i/>
        </w:rPr>
      </w:pPr>
      <w:r w:rsidRPr="006F3C10">
        <w:rPr>
          <w:b/>
          <w:i/>
        </w:rPr>
        <w:t xml:space="preserve">По </w:t>
      </w:r>
      <w:r w:rsidR="00AD01F4" w:rsidRPr="006F3C10">
        <w:rPr>
          <w:b/>
          <w:i/>
        </w:rPr>
        <w:t>состоянию на 31.12.202</w:t>
      </w:r>
      <w:r w:rsidR="004D688E" w:rsidRPr="006F3C10">
        <w:rPr>
          <w:b/>
          <w:i/>
        </w:rPr>
        <w:t>3</w:t>
      </w:r>
      <w:r w:rsidR="00AD01F4" w:rsidRPr="006F3C10">
        <w:rPr>
          <w:b/>
          <w:i/>
        </w:rPr>
        <w:t xml:space="preserve"> кредиторы, имеющие для эмитента существенное значение, отсутствуют. Кредиторская задолженность перед третьими лицами на 31.12.202</w:t>
      </w:r>
      <w:r w:rsidR="004D688E" w:rsidRPr="006F3C10">
        <w:rPr>
          <w:b/>
          <w:i/>
        </w:rPr>
        <w:t>3</w:t>
      </w:r>
      <w:r w:rsidR="00AD01F4" w:rsidRPr="006F3C10">
        <w:rPr>
          <w:b/>
          <w:i/>
        </w:rPr>
        <w:t xml:space="preserve"> составляла </w:t>
      </w:r>
      <w:r w:rsidR="004D688E" w:rsidRPr="006F3C10">
        <w:rPr>
          <w:b/>
          <w:i/>
        </w:rPr>
        <w:t>5</w:t>
      </w:r>
      <w:r w:rsidR="008175E9" w:rsidRPr="006F3C10">
        <w:rPr>
          <w:b/>
          <w:i/>
        </w:rPr>
        <w:t>3</w:t>
      </w:r>
      <w:r w:rsidR="00AD01F4" w:rsidRPr="006F3C10">
        <w:rPr>
          <w:b/>
          <w:i/>
        </w:rPr>
        <w:t xml:space="preserve"> тыс. рублей.</w:t>
      </w:r>
    </w:p>
    <w:p w14:paraId="769B2531" w14:textId="1CD36421" w:rsidR="00AD01F4" w:rsidRDefault="00AD01F4" w:rsidP="00920E22">
      <w:pPr>
        <w:adjustRightInd w:val="0"/>
        <w:jc w:val="both"/>
        <w:outlineLvl w:val="1"/>
      </w:pPr>
    </w:p>
    <w:p w14:paraId="14B0B791" w14:textId="0795A921" w:rsidR="00920E22" w:rsidRPr="004F6B50" w:rsidRDefault="00920E22" w:rsidP="004F6B50">
      <w:pPr>
        <w:pStyle w:val="af2"/>
        <w:jc w:val="left"/>
        <w:rPr>
          <w:rFonts w:ascii="Times New Roman" w:hAnsi="Times New Roman"/>
          <w:sz w:val="22"/>
          <w:szCs w:val="22"/>
        </w:rPr>
      </w:pPr>
      <w:bookmarkStart w:id="44" w:name="_Toc96338357"/>
      <w:bookmarkStart w:id="45" w:name="_Toc96338453"/>
      <w:bookmarkStart w:id="46" w:name="_Toc96338549"/>
      <w:bookmarkStart w:id="47" w:name="_Toc96338823"/>
      <w:bookmarkStart w:id="48" w:name="_Toc96347914"/>
      <w:r w:rsidRPr="004F6B50">
        <w:rPr>
          <w:rFonts w:ascii="Times New Roman" w:hAnsi="Times New Roman"/>
          <w:sz w:val="22"/>
          <w:szCs w:val="22"/>
        </w:rPr>
        <w:t>Сведения об обязательствах эмитента из предоставленного обеспечения</w:t>
      </w:r>
      <w:bookmarkEnd w:id="44"/>
      <w:bookmarkEnd w:id="45"/>
      <w:bookmarkEnd w:id="46"/>
      <w:bookmarkEnd w:id="47"/>
      <w:bookmarkEnd w:id="48"/>
      <w:r w:rsidR="004F6B50">
        <w:rPr>
          <w:rFonts w:ascii="Times New Roman" w:hAnsi="Times New Roman"/>
          <w:sz w:val="22"/>
          <w:szCs w:val="22"/>
        </w:rPr>
        <w:t>:</w:t>
      </w:r>
    </w:p>
    <w:p w14:paraId="51A3B043" w14:textId="77777777" w:rsidR="00920E22" w:rsidRPr="006F3C10" w:rsidRDefault="00920E22" w:rsidP="00920E22">
      <w:pPr>
        <w:jc w:val="both"/>
        <w:rPr>
          <w:rStyle w:val="Subst"/>
          <w:bCs/>
          <w:iCs/>
        </w:rPr>
      </w:pPr>
      <w:bookmarkStart w:id="49" w:name="_Toc96338358"/>
      <w:bookmarkStart w:id="50" w:name="_Toc96338454"/>
      <w:bookmarkStart w:id="51" w:name="_Toc96338550"/>
      <w:bookmarkStart w:id="52" w:name="_Toc96338824"/>
      <w:r w:rsidRPr="006F3C10">
        <w:rPr>
          <w:rStyle w:val="Subst"/>
          <w:bCs/>
          <w:iCs/>
        </w:rPr>
        <w:t>Предоставленное Эмитентом обеспечение отсутствует.</w:t>
      </w:r>
      <w:bookmarkEnd w:id="49"/>
      <w:bookmarkEnd w:id="50"/>
      <w:bookmarkEnd w:id="51"/>
      <w:bookmarkEnd w:id="52"/>
    </w:p>
    <w:p w14:paraId="52295316" w14:textId="608ABC9B" w:rsidR="00861F02" w:rsidRDefault="00861F02" w:rsidP="00920E22">
      <w:pPr>
        <w:pStyle w:val="af2"/>
        <w:jc w:val="left"/>
        <w:rPr>
          <w:rFonts w:ascii="Times New Roman" w:eastAsiaTheme="minorEastAsia" w:hAnsi="Times New Roman"/>
          <w:sz w:val="22"/>
          <w:szCs w:val="22"/>
        </w:rPr>
      </w:pPr>
      <w:bookmarkStart w:id="53" w:name="_Toc96338359"/>
      <w:bookmarkStart w:id="54" w:name="_Toc96338455"/>
      <w:bookmarkStart w:id="55" w:name="_Toc96338551"/>
      <w:bookmarkStart w:id="56" w:name="_Toc96338825"/>
      <w:bookmarkStart w:id="57" w:name="_Toc96347915"/>
    </w:p>
    <w:p w14:paraId="1BABCF22" w14:textId="0B4BEC76" w:rsidR="00920E22" w:rsidRPr="004F6B50" w:rsidRDefault="00920E22" w:rsidP="004F6B50">
      <w:pPr>
        <w:pStyle w:val="af2"/>
        <w:jc w:val="left"/>
        <w:rPr>
          <w:sz w:val="22"/>
          <w:szCs w:val="22"/>
        </w:rPr>
      </w:pPr>
      <w:r w:rsidRPr="004F6B50">
        <w:rPr>
          <w:rFonts w:ascii="Times New Roman" w:hAnsi="Times New Roman"/>
          <w:sz w:val="22"/>
          <w:szCs w:val="22"/>
        </w:rPr>
        <w:t>Сведения о прочих существенных обязательствах эмитента</w:t>
      </w:r>
      <w:bookmarkEnd w:id="53"/>
      <w:bookmarkEnd w:id="54"/>
      <w:bookmarkEnd w:id="55"/>
      <w:bookmarkEnd w:id="56"/>
      <w:bookmarkEnd w:id="57"/>
      <w:r w:rsidR="004F6B50" w:rsidRPr="004F6B50">
        <w:rPr>
          <w:rFonts w:ascii="Times New Roman" w:hAnsi="Times New Roman"/>
          <w:sz w:val="22"/>
          <w:szCs w:val="22"/>
        </w:rPr>
        <w:t>:</w:t>
      </w:r>
    </w:p>
    <w:p w14:paraId="2D66BA87" w14:textId="6E8678D2" w:rsidR="00425568" w:rsidRPr="006F3C10" w:rsidRDefault="004F6B50" w:rsidP="004F6B50">
      <w:pPr>
        <w:rPr>
          <w:rStyle w:val="Subst"/>
          <w:iCs/>
        </w:rPr>
      </w:pPr>
      <w:r w:rsidRPr="004F6B50">
        <w:rPr>
          <w:b/>
          <w:i/>
        </w:rPr>
        <w:t>Сведения о прочих существенных обязательствах эмитента</w:t>
      </w:r>
      <w:r w:rsidRPr="006F3C10">
        <w:rPr>
          <w:rStyle w:val="Subst"/>
          <w:iCs/>
        </w:rPr>
        <w:t xml:space="preserve"> </w:t>
      </w:r>
      <w:r>
        <w:rPr>
          <w:rStyle w:val="Subst"/>
          <w:iCs/>
        </w:rPr>
        <w:t>о</w:t>
      </w:r>
      <w:r w:rsidR="006F3C10" w:rsidRPr="006F3C10">
        <w:rPr>
          <w:rStyle w:val="Subst"/>
          <w:iCs/>
        </w:rPr>
        <w:t>тсутствуют</w:t>
      </w:r>
      <w:r>
        <w:rPr>
          <w:rStyle w:val="Subst"/>
          <w:iCs/>
        </w:rPr>
        <w:t>.</w:t>
      </w:r>
    </w:p>
    <w:p w14:paraId="0EDE7127" w14:textId="3A43CE78" w:rsidR="001F687A" w:rsidRDefault="001F687A">
      <w:pPr>
        <w:ind w:left="80"/>
        <w:rPr>
          <w:rFonts w:eastAsia="Tahoma"/>
          <w:b/>
          <w:bCs/>
        </w:rPr>
      </w:pPr>
    </w:p>
    <w:p w14:paraId="56549CD2" w14:textId="77777777" w:rsidR="00FB254C" w:rsidRPr="00932B7F" w:rsidRDefault="00FB254C">
      <w:pPr>
        <w:ind w:left="80"/>
        <w:rPr>
          <w:rFonts w:eastAsia="Tahoma"/>
          <w:b/>
          <w:bCs/>
        </w:rPr>
      </w:pPr>
    </w:p>
    <w:p w14:paraId="1EACC5BD" w14:textId="7E02BBBF" w:rsidR="0067080E" w:rsidRPr="00932B7F" w:rsidRDefault="00B07DC1" w:rsidP="001F687A">
      <w:pPr>
        <w:ind w:left="80"/>
        <w:jc w:val="center"/>
        <w:rPr>
          <w:rFonts w:eastAsia="Tahoma"/>
          <w:b/>
          <w:bCs/>
        </w:rPr>
      </w:pPr>
      <w:r>
        <w:rPr>
          <w:rFonts w:eastAsia="Tahoma"/>
          <w:b/>
          <w:bCs/>
        </w:rPr>
        <w:t>7</w:t>
      </w:r>
      <w:r w:rsidR="00725806" w:rsidRPr="00932B7F">
        <w:rPr>
          <w:rFonts w:eastAsia="Tahoma"/>
          <w:b/>
          <w:bCs/>
        </w:rPr>
        <w:t xml:space="preserve">. </w:t>
      </w:r>
      <w:r w:rsidR="001F687A" w:rsidRPr="00932B7F">
        <w:rPr>
          <w:rFonts w:eastAsia="Tahoma"/>
          <w:b/>
          <w:bCs/>
        </w:rPr>
        <w:t>КРЕДИТНАЯ ИСТОРИЯ ОБЩЕСТВА</w:t>
      </w:r>
    </w:p>
    <w:p w14:paraId="343F6D17" w14:textId="77777777" w:rsidR="004F6B50" w:rsidRDefault="004F6B50" w:rsidP="004F6B50">
      <w:pPr>
        <w:spacing w:line="239" w:lineRule="auto"/>
        <w:ind w:right="20"/>
        <w:jc w:val="both"/>
      </w:pPr>
    </w:p>
    <w:p w14:paraId="35312ACD" w14:textId="2D49E05E" w:rsidR="00FB254C" w:rsidRDefault="00725806" w:rsidP="004F6B50">
      <w:pPr>
        <w:spacing w:line="239" w:lineRule="auto"/>
        <w:ind w:right="20"/>
        <w:jc w:val="both"/>
        <w:rPr>
          <w:rFonts w:eastAsia="Tahoma"/>
        </w:rPr>
      </w:pPr>
      <w:r w:rsidRPr="00932B7F">
        <w:rPr>
          <w:rFonts w:eastAsia="Tahoma"/>
        </w:rPr>
        <w:t>Исполнение Обществом обязательств по действовавшим в течение 20</w:t>
      </w:r>
      <w:r w:rsidR="009F58F2" w:rsidRPr="00932B7F">
        <w:rPr>
          <w:rFonts w:eastAsia="Tahoma"/>
        </w:rPr>
        <w:t>2</w:t>
      </w:r>
      <w:r w:rsidR="00922FB0">
        <w:rPr>
          <w:rFonts w:eastAsia="Tahoma"/>
        </w:rPr>
        <w:t>3</w:t>
      </w:r>
      <w:r w:rsidRPr="00932B7F">
        <w:rPr>
          <w:rFonts w:eastAsia="Tahoma"/>
        </w:rPr>
        <w:t xml:space="preserve">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Общества на дату окончания последнего завершенного отчетного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Общество считает для себя существенными:</w:t>
      </w:r>
    </w:p>
    <w:p w14:paraId="06313804" w14:textId="293E97F8" w:rsidR="00FB254C" w:rsidRDefault="00FB254C" w:rsidP="004F6B50">
      <w:pPr>
        <w:spacing w:line="239" w:lineRule="auto"/>
        <w:ind w:right="20"/>
        <w:jc w:val="both"/>
        <w:rPr>
          <w:rFonts w:eastAsia="Tahoma"/>
        </w:rPr>
      </w:pPr>
    </w:p>
    <w:p w14:paraId="6158C681" w14:textId="77777777" w:rsidR="00FB254C" w:rsidRPr="00932B7F" w:rsidRDefault="00FB254C" w:rsidP="004F6B50">
      <w:pPr>
        <w:spacing w:line="239" w:lineRule="auto"/>
        <w:ind w:right="20"/>
        <w:jc w:val="both"/>
        <w:rPr>
          <w:rFonts w:eastAsia="Tahoma"/>
        </w:rPr>
      </w:pPr>
    </w:p>
    <w:tbl>
      <w:tblPr>
        <w:tblW w:w="5000" w:type="pct"/>
        <w:tblCellMar>
          <w:left w:w="72" w:type="dxa"/>
          <w:right w:w="72" w:type="dxa"/>
        </w:tblCellMar>
        <w:tblLook w:val="0000" w:firstRow="0" w:lastRow="0" w:firstColumn="0" w:lastColumn="0" w:noHBand="0" w:noVBand="0"/>
      </w:tblPr>
      <w:tblGrid>
        <w:gridCol w:w="4205"/>
        <w:gridCol w:w="6219"/>
      </w:tblGrid>
      <w:tr w:rsidR="00920E22" w:rsidRPr="00932B7F" w14:paraId="1319E0C0" w14:textId="77777777" w:rsidTr="00FB254C">
        <w:trPr>
          <w:tblHeader/>
        </w:trPr>
        <w:tc>
          <w:tcPr>
            <w:tcW w:w="5000" w:type="pct"/>
            <w:gridSpan w:val="2"/>
            <w:tcBorders>
              <w:top w:val="single" w:sz="6" w:space="0" w:color="auto"/>
              <w:left w:val="single" w:sz="6" w:space="0" w:color="auto"/>
              <w:bottom w:val="single" w:sz="6" w:space="0" w:color="auto"/>
              <w:right w:val="single" w:sz="6" w:space="0" w:color="auto"/>
            </w:tcBorders>
          </w:tcPr>
          <w:p w14:paraId="6A712EB6" w14:textId="77777777" w:rsidR="00920E22" w:rsidRPr="00932B7F" w:rsidRDefault="00920E22" w:rsidP="002E560D">
            <w:pPr>
              <w:jc w:val="center"/>
              <w:rPr>
                <w:b/>
                <w:bCs/>
              </w:rPr>
            </w:pPr>
            <w:r w:rsidRPr="00932B7F">
              <w:rPr>
                <w:b/>
                <w:bCs/>
              </w:rPr>
              <w:t>Вид и идентификационные признаки обязательства</w:t>
            </w:r>
          </w:p>
        </w:tc>
      </w:tr>
      <w:tr w:rsidR="00920E22" w:rsidRPr="00932B7F" w14:paraId="5A79FB7E" w14:textId="77777777" w:rsidTr="00FB254C">
        <w:trPr>
          <w:tblHeader/>
        </w:trPr>
        <w:tc>
          <w:tcPr>
            <w:tcW w:w="5000" w:type="pct"/>
            <w:gridSpan w:val="2"/>
            <w:tcBorders>
              <w:top w:val="single" w:sz="6" w:space="0" w:color="auto"/>
              <w:left w:val="single" w:sz="6" w:space="0" w:color="auto"/>
              <w:bottom w:val="single" w:sz="6" w:space="0" w:color="auto"/>
              <w:right w:val="single" w:sz="6" w:space="0" w:color="auto"/>
            </w:tcBorders>
          </w:tcPr>
          <w:p w14:paraId="62CFD70D" w14:textId="77777777" w:rsidR="00920E22" w:rsidRPr="00932B7F" w:rsidRDefault="00920E22" w:rsidP="002E560D">
            <w:pPr>
              <w:jc w:val="center"/>
              <w:rPr>
                <w:b/>
                <w:bCs/>
              </w:rPr>
            </w:pPr>
            <w:r w:rsidRPr="00932B7F">
              <w:rPr>
                <w:b/>
                <w:bCs/>
              </w:rPr>
              <w:t>1. облигационный заем, БО-П02 ISIN RUOOOAOZYPE5</w:t>
            </w:r>
          </w:p>
        </w:tc>
      </w:tr>
      <w:tr w:rsidR="00920E22" w:rsidRPr="00932B7F" w14:paraId="091AB3DB" w14:textId="77777777" w:rsidTr="00FB254C">
        <w:trPr>
          <w:tblHeader/>
        </w:trPr>
        <w:tc>
          <w:tcPr>
            <w:tcW w:w="5000" w:type="pct"/>
            <w:gridSpan w:val="2"/>
            <w:tcBorders>
              <w:top w:val="single" w:sz="6" w:space="0" w:color="auto"/>
              <w:left w:val="single" w:sz="6" w:space="0" w:color="auto"/>
              <w:bottom w:val="single" w:sz="6" w:space="0" w:color="auto"/>
              <w:right w:val="single" w:sz="6" w:space="0" w:color="auto"/>
            </w:tcBorders>
          </w:tcPr>
          <w:p w14:paraId="14B1EE96" w14:textId="77777777" w:rsidR="00920E22" w:rsidRPr="00932B7F" w:rsidRDefault="00920E22" w:rsidP="002E560D">
            <w:pPr>
              <w:jc w:val="center"/>
              <w:rPr>
                <w:b/>
                <w:bCs/>
              </w:rPr>
            </w:pPr>
            <w:r w:rsidRPr="00932B7F">
              <w:rPr>
                <w:b/>
                <w:bCs/>
              </w:rPr>
              <w:t>Условия обязательства и сведения о его исполнении</w:t>
            </w:r>
          </w:p>
        </w:tc>
      </w:tr>
      <w:tr w:rsidR="00920E22" w:rsidRPr="00932B7F" w14:paraId="54669A6E" w14:textId="77777777" w:rsidTr="001F687A">
        <w:tc>
          <w:tcPr>
            <w:tcW w:w="2017" w:type="pct"/>
            <w:tcBorders>
              <w:top w:val="single" w:sz="6" w:space="0" w:color="auto"/>
              <w:left w:val="single" w:sz="6" w:space="0" w:color="auto"/>
              <w:bottom w:val="single" w:sz="6" w:space="0" w:color="auto"/>
              <w:right w:val="single" w:sz="6" w:space="0" w:color="auto"/>
            </w:tcBorders>
          </w:tcPr>
          <w:p w14:paraId="60729759" w14:textId="77777777" w:rsidR="00920E22" w:rsidRPr="00932B7F" w:rsidRDefault="00920E22" w:rsidP="002E560D">
            <w:r w:rsidRPr="00932B7F">
              <w:lastRenderedPageBreak/>
              <w:t>Наименование и место нахождения или фамилия, имя, отчество кредитора (займодавца)</w:t>
            </w:r>
          </w:p>
        </w:tc>
        <w:tc>
          <w:tcPr>
            <w:tcW w:w="2983" w:type="pct"/>
            <w:tcBorders>
              <w:top w:val="single" w:sz="6" w:space="0" w:color="auto"/>
              <w:left w:val="single" w:sz="6" w:space="0" w:color="auto"/>
              <w:bottom w:val="single" w:sz="6" w:space="0" w:color="auto"/>
              <w:right w:val="single" w:sz="6" w:space="0" w:color="auto"/>
            </w:tcBorders>
          </w:tcPr>
          <w:p w14:paraId="2725136A" w14:textId="77777777" w:rsidR="00920E22" w:rsidRPr="001F687A" w:rsidRDefault="00920E22" w:rsidP="002E560D">
            <w:pPr>
              <w:rPr>
                <w:b/>
                <w:i/>
              </w:rPr>
            </w:pPr>
            <w:r w:rsidRPr="001F687A">
              <w:rPr>
                <w:b/>
                <w:i/>
              </w:rPr>
              <w:t>Приобретатели ценных бумаг выпуска,</w:t>
            </w:r>
          </w:p>
        </w:tc>
      </w:tr>
      <w:tr w:rsidR="00920E22" w:rsidRPr="00932B7F" w14:paraId="71ADAC5B" w14:textId="77777777" w:rsidTr="001F687A">
        <w:tc>
          <w:tcPr>
            <w:tcW w:w="2017" w:type="pct"/>
            <w:tcBorders>
              <w:top w:val="single" w:sz="6" w:space="0" w:color="auto"/>
              <w:left w:val="single" w:sz="6" w:space="0" w:color="auto"/>
              <w:bottom w:val="single" w:sz="6" w:space="0" w:color="auto"/>
              <w:right w:val="single" w:sz="6" w:space="0" w:color="auto"/>
            </w:tcBorders>
          </w:tcPr>
          <w:p w14:paraId="7F3F4E64" w14:textId="77777777" w:rsidR="00920E22" w:rsidRPr="00932B7F" w:rsidRDefault="00920E22" w:rsidP="002E560D">
            <w:r w:rsidRPr="00932B7F">
              <w:t>Сумма основного долга на момент возникновения обязательства, RUR</w:t>
            </w:r>
          </w:p>
        </w:tc>
        <w:tc>
          <w:tcPr>
            <w:tcW w:w="2983" w:type="pct"/>
            <w:tcBorders>
              <w:top w:val="single" w:sz="6" w:space="0" w:color="auto"/>
              <w:left w:val="single" w:sz="6" w:space="0" w:color="auto"/>
              <w:bottom w:val="single" w:sz="6" w:space="0" w:color="auto"/>
              <w:right w:val="single" w:sz="6" w:space="0" w:color="auto"/>
            </w:tcBorders>
          </w:tcPr>
          <w:p w14:paraId="3AAF49C4" w14:textId="77777777" w:rsidR="00920E22" w:rsidRPr="001F687A" w:rsidRDefault="00920E22" w:rsidP="002E560D">
            <w:pPr>
              <w:rPr>
                <w:b/>
                <w:i/>
              </w:rPr>
            </w:pPr>
            <w:r w:rsidRPr="001F687A">
              <w:rPr>
                <w:b/>
                <w:i/>
              </w:rPr>
              <w:t>С RUR X 1000</w:t>
            </w:r>
          </w:p>
        </w:tc>
      </w:tr>
      <w:tr w:rsidR="00920E22" w:rsidRPr="00932B7F" w14:paraId="67C759B4" w14:textId="77777777" w:rsidTr="001F687A">
        <w:tc>
          <w:tcPr>
            <w:tcW w:w="2017" w:type="pct"/>
            <w:tcBorders>
              <w:top w:val="single" w:sz="6" w:space="0" w:color="auto"/>
              <w:left w:val="single" w:sz="6" w:space="0" w:color="auto"/>
              <w:bottom w:val="single" w:sz="6" w:space="0" w:color="auto"/>
              <w:right w:val="single" w:sz="6" w:space="0" w:color="auto"/>
            </w:tcBorders>
          </w:tcPr>
          <w:p w14:paraId="2EBA1C31" w14:textId="77777777" w:rsidR="00920E22" w:rsidRPr="00932B7F" w:rsidRDefault="00920E22" w:rsidP="002E560D">
            <w:r w:rsidRPr="00932B7F">
              <w:t>Сумма основного долга на дату окончания отчетного квартала, RUR</w:t>
            </w:r>
          </w:p>
        </w:tc>
        <w:tc>
          <w:tcPr>
            <w:tcW w:w="2983" w:type="pct"/>
            <w:tcBorders>
              <w:top w:val="single" w:sz="6" w:space="0" w:color="auto"/>
              <w:left w:val="single" w:sz="6" w:space="0" w:color="auto"/>
              <w:bottom w:val="single" w:sz="6" w:space="0" w:color="auto"/>
              <w:right w:val="single" w:sz="6" w:space="0" w:color="auto"/>
            </w:tcBorders>
          </w:tcPr>
          <w:p w14:paraId="34D84477" w14:textId="77777777" w:rsidR="00920E22" w:rsidRPr="001F687A" w:rsidRDefault="00920E22" w:rsidP="002E560D">
            <w:pPr>
              <w:rPr>
                <w:b/>
                <w:i/>
              </w:rPr>
            </w:pPr>
            <w:r w:rsidRPr="001F687A">
              <w:rPr>
                <w:b/>
                <w:i/>
              </w:rPr>
              <w:t>14 000 000 RUR X 1000</w:t>
            </w:r>
          </w:p>
        </w:tc>
      </w:tr>
      <w:tr w:rsidR="00920E22" w:rsidRPr="00932B7F" w14:paraId="060B119C" w14:textId="77777777" w:rsidTr="001F687A">
        <w:tc>
          <w:tcPr>
            <w:tcW w:w="2017" w:type="pct"/>
            <w:tcBorders>
              <w:top w:val="single" w:sz="6" w:space="0" w:color="auto"/>
              <w:left w:val="single" w:sz="6" w:space="0" w:color="auto"/>
              <w:bottom w:val="single" w:sz="6" w:space="0" w:color="auto"/>
              <w:right w:val="single" w:sz="6" w:space="0" w:color="auto"/>
            </w:tcBorders>
          </w:tcPr>
          <w:p w14:paraId="65C92B60" w14:textId="77777777" w:rsidR="00920E22" w:rsidRPr="00932B7F" w:rsidRDefault="00920E22" w:rsidP="002E560D">
            <w:r w:rsidRPr="00932B7F">
              <w:t>Срок кредита (займа), (лет)</w:t>
            </w:r>
          </w:p>
        </w:tc>
        <w:tc>
          <w:tcPr>
            <w:tcW w:w="2983" w:type="pct"/>
            <w:tcBorders>
              <w:top w:val="single" w:sz="6" w:space="0" w:color="auto"/>
              <w:left w:val="single" w:sz="6" w:space="0" w:color="auto"/>
              <w:bottom w:val="single" w:sz="6" w:space="0" w:color="auto"/>
              <w:right w:val="single" w:sz="6" w:space="0" w:color="auto"/>
            </w:tcBorders>
          </w:tcPr>
          <w:p w14:paraId="7191EBAC" w14:textId="77777777" w:rsidR="00920E22" w:rsidRPr="001F687A" w:rsidRDefault="00920E22" w:rsidP="002E560D">
            <w:pPr>
              <w:rPr>
                <w:b/>
                <w:i/>
              </w:rPr>
            </w:pPr>
            <w:r w:rsidRPr="001F687A">
              <w:rPr>
                <w:b/>
                <w:i/>
              </w:rPr>
              <w:t xml:space="preserve"> 10</w:t>
            </w:r>
          </w:p>
        </w:tc>
      </w:tr>
      <w:tr w:rsidR="00920E22" w:rsidRPr="00932B7F" w14:paraId="7448EBBC" w14:textId="77777777" w:rsidTr="001F687A">
        <w:tc>
          <w:tcPr>
            <w:tcW w:w="2017" w:type="pct"/>
            <w:tcBorders>
              <w:top w:val="single" w:sz="6" w:space="0" w:color="auto"/>
              <w:left w:val="single" w:sz="6" w:space="0" w:color="auto"/>
              <w:bottom w:val="single" w:sz="6" w:space="0" w:color="auto"/>
              <w:right w:val="single" w:sz="6" w:space="0" w:color="auto"/>
            </w:tcBorders>
          </w:tcPr>
          <w:p w14:paraId="71AF4557" w14:textId="77777777" w:rsidR="00920E22" w:rsidRPr="00932B7F" w:rsidRDefault="00920E22" w:rsidP="002E560D">
            <w:r w:rsidRPr="00932B7F">
              <w:t>Средний размер процентов по кредиту займу, % годовых</w:t>
            </w:r>
          </w:p>
        </w:tc>
        <w:tc>
          <w:tcPr>
            <w:tcW w:w="2983" w:type="pct"/>
            <w:tcBorders>
              <w:top w:val="single" w:sz="6" w:space="0" w:color="auto"/>
              <w:left w:val="single" w:sz="6" w:space="0" w:color="auto"/>
              <w:bottom w:val="single" w:sz="6" w:space="0" w:color="auto"/>
              <w:right w:val="single" w:sz="6" w:space="0" w:color="auto"/>
            </w:tcBorders>
          </w:tcPr>
          <w:p w14:paraId="6C04193B" w14:textId="3DC155FA" w:rsidR="00920E22" w:rsidRPr="001F687A" w:rsidRDefault="00920E22" w:rsidP="002E560D">
            <w:pPr>
              <w:rPr>
                <w:b/>
                <w:i/>
              </w:rPr>
            </w:pPr>
            <w:r w:rsidRPr="001F687A">
              <w:rPr>
                <w:b/>
                <w:i/>
              </w:rPr>
              <w:t xml:space="preserve"> </w:t>
            </w:r>
            <w:r w:rsidR="00CC7A06" w:rsidRPr="001F687A">
              <w:rPr>
                <w:b/>
                <w:i/>
              </w:rPr>
              <w:t>8,75%</w:t>
            </w:r>
            <w:r w:rsidRPr="001F687A">
              <w:rPr>
                <w:b/>
                <w:i/>
              </w:rPr>
              <w:t>%</w:t>
            </w:r>
          </w:p>
        </w:tc>
      </w:tr>
      <w:tr w:rsidR="00920E22" w:rsidRPr="00932B7F" w14:paraId="0987BA1E" w14:textId="77777777" w:rsidTr="001F687A">
        <w:tc>
          <w:tcPr>
            <w:tcW w:w="2017" w:type="pct"/>
            <w:tcBorders>
              <w:top w:val="single" w:sz="6" w:space="0" w:color="auto"/>
              <w:left w:val="single" w:sz="6" w:space="0" w:color="auto"/>
              <w:bottom w:val="single" w:sz="6" w:space="0" w:color="auto"/>
              <w:right w:val="single" w:sz="6" w:space="0" w:color="auto"/>
            </w:tcBorders>
          </w:tcPr>
          <w:p w14:paraId="2C887C84" w14:textId="77777777" w:rsidR="00920E22" w:rsidRPr="00932B7F" w:rsidRDefault="00920E22" w:rsidP="002E560D">
            <w:r w:rsidRPr="00932B7F">
              <w:t>Количество процентных (купонных) периодов</w:t>
            </w:r>
          </w:p>
        </w:tc>
        <w:tc>
          <w:tcPr>
            <w:tcW w:w="2983" w:type="pct"/>
            <w:tcBorders>
              <w:top w:val="single" w:sz="6" w:space="0" w:color="auto"/>
              <w:left w:val="single" w:sz="6" w:space="0" w:color="auto"/>
              <w:bottom w:val="single" w:sz="6" w:space="0" w:color="auto"/>
              <w:right w:val="single" w:sz="6" w:space="0" w:color="auto"/>
            </w:tcBorders>
          </w:tcPr>
          <w:p w14:paraId="0B1D991E" w14:textId="77777777" w:rsidR="00920E22" w:rsidRPr="001F687A" w:rsidRDefault="00920E22" w:rsidP="002E560D">
            <w:pPr>
              <w:rPr>
                <w:b/>
                <w:i/>
              </w:rPr>
            </w:pPr>
            <w:r w:rsidRPr="001F687A">
              <w:rPr>
                <w:b/>
                <w:i/>
              </w:rPr>
              <w:t xml:space="preserve"> 40</w:t>
            </w:r>
          </w:p>
        </w:tc>
      </w:tr>
      <w:tr w:rsidR="00920E22" w:rsidRPr="00932B7F" w14:paraId="25F3AC96" w14:textId="77777777" w:rsidTr="001F687A">
        <w:tc>
          <w:tcPr>
            <w:tcW w:w="2017" w:type="pct"/>
            <w:tcBorders>
              <w:top w:val="single" w:sz="6" w:space="0" w:color="auto"/>
              <w:left w:val="single" w:sz="6" w:space="0" w:color="auto"/>
              <w:bottom w:val="single" w:sz="6" w:space="0" w:color="auto"/>
              <w:right w:val="single" w:sz="6" w:space="0" w:color="auto"/>
            </w:tcBorders>
          </w:tcPr>
          <w:p w14:paraId="36FBB670" w14:textId="77777777" w:rsidR="00920E22" w:rsidRPr="00932B7F" w:rsidRDefault="00920E22" w:rsidP="002E560D">
            <w:r w:rsidRPr="00932B7F">
              <w:t>Наличие просрочек при выплате процентов по кредиту (займу), а в случае их наличия – общее число указанных просрочек и их размер в днях</w:t>
            </w:r>
          </w:p>
        </w:tc>
        <w:tc>
          <w:tcPr>
            <w:tcW w:w="2983" w:type="pct"/>
            <w:tcBorders>
              <w:top w:val="single" w:sz="6" w:space="0" w:color="auto"/>
              <w:left w:val="single" w:sz="6" w:space="0" w:color="auto"/>
              <w:bottom w:val="single" w:sz="6" w:space="0" w:color="auto"/>
              <w:right w:val="single" w:sz="6" w:space="0" w:color="auto"/>
            </w:tcBorders>
          </w:tcPr>
          <w:p w14:paraId="7192C099" w14:textId="77777777" w:rsidR="00920E22" w:rsidRPr="001F687A" w:rsidRDefault="00920E22" w:rsidP="002E560D">
            <w:pPr>
              <w:rPr>
                <w:b/>
                <w:i/>
              </w:rPr>
            </w:pPr>
            <w:r w:rsidRPr="001F687A">
              <w:rPr>
                <w:b/>
                <w:i/>
              </w:rPr>
              <w:t xml:space="preserve"> Нет</w:t>
            </w:r>
          </w:p>
        </w:tc>
      </w:tr>
      <w:tr w:rsidR="00920E22" w:rsidRPr="00932B7F" w14:paraId="55E10F2C" w14:textId="77777777" w:rsidTr="001F687A">
        <w:tc>
          <w:tcPr>
            <w:tcW w:w="2017" w:type="pct"/>
            <w:tcBorders>
              <w:top w:val="single" w:sz="6" w:space="0" w:color="auto"/>
              <w:left w:val="single" w:sz="6" w:space="0" w:color="auto"/>
              <w:bottom w:val="single" w:sz="6" w:space="0" w:color="auto"/>
              <w:right w:val="single" w:sz="6" w:space="0" w:color="auto"/>
            </w:tcBorders>
          </w:tcPr>
          <w:p w14:paraId="1030CBD7" w14:textId="77777777" w:rsidR="00920E22" w:rsidRPr="00932B7F" w:rsidRDefault="00920E22" w:rsidP="002E560D">
            <w:r w:rsidRPr="00932B7F">
              <w:t>Плановый срок (дата) погашения кредита (займа)</w:t>
            </w:r>
          </w:p>
        </w:tc>
        <w:tc>
          <w:tcPr>
            <w:tcW w:w="2983" w:type="pct"/>
            <w:tcBorders>
              <w:top w:val="single" w:sz="6" w:space="0" w:color="auto"/>
              <w:left w:val="single" w:sz="6" w:space="0" w:color="auto"/>
              <w:bottom w:val="single" w:sz="6" w:space="0" w:color="auto"/>
              <w:right w:val="single" w:sz="6" w:space="0" w:color="auto"/>
            </w:tcBorders>
          </w:tcPr>
          <w:p w14:paraId="3B08A650" w14:textId="77777777" w:rsidR="00920E22" w:rsidRPr="001F687A" w:rsidRDefault="00920E22" w:rsidP="002E560D">
            <w:pPr>
              <w:rPr>
                <w:b/>
                <w:i/>
              </w:rPr>
            </w:pPr>
            <w:r w:rsidRPr="001F687A">
              <w:rPr>
                <w:b/>
                <w:i/>
              </w:rPr>
              <w:t xml:space="preserve"> 01.02.2028</w:t>
            </w:r>
          </w:p>
        </w:tc>
      </w:tr>
      <w:tr w:rsidR="00920E22" w:rsidRPr="00932B7F" w14:paraId="6A59914F" w14:textId="77777777" w:rsidTr="001F687A">
        <w:tc>
          <w:tcPr>
            <w:tcW w:w="2017" w:type="pct"/>
            <w:tcBorders>
              <w:top w:val="single" w:sz="6" w:space="0" w:color="auto"/>
              <w:left w:val="single" w:sz="6" w:space="0" w:color="auto"/>
              <w:bottom w:val="single" w:sz="6" w:space="0" w:color="auto"/>
              <w:right w:val="single" w:sz="6" w:space="0" w:color="auto"/>
            </w:tcBorders>
          </w:tcPr>
          <w:p w14:paraId="360FE918" w14:textId="77777777" w:rsidR="00920E22" w:rsidRPr="00932B7F" w:rsidRDefault="00920E22" w:rsidP="002E560D">
            <w:r w:rsidRPr="00932B7F">
              <w:t>Фактический срок (дата) погашения кредита (займа)</w:t>
            </w:r>
          </w:p>
        </w:tc>
        <w:tc>
          <w:tcPr>
            <w:tcW w:w="2983" w:type="pct"/>
            <w:tcBorders>
              <w:top w:val="single" w:sz="6" w:space="0" w:color="auto"/>
              <w:left w:val="single" w:sz="6" w:space="0" w:color="auto"/>
              <w:bottom w:val="single" w:sz="6" w:space="0" w:color="auto"/>
              <w:right w:val="single" w:sz="6" w:space="0" w:color="auto"/>
            </w:tcBorders>
          </w:tcPr>
          <w:p w14:paraId="1B6E1CF5" w14:textId="77777777" w:rsidR="00920E22" w:rsidRPr="001F687A" w:rsidRDefault="00920E22" w:rsidP="002E560D">
            <w:pPr>
              <w:rPr>
                <w:b/>
                <w:i/>
              </w:rPr>
            </w:pPr>
            <w:r w:rsidRPr="001F687A">
              <w:rPr>
                <w:b/>
                <w:i/>
              </w:rPr>
              <w:t xml:space="preserve"> действующий</w:t>
            </w:r>
          </w:p>
        </w:tc>
      </w:tr>
      <w:tr w:rsidR="00920E22" w:rsidRPr="00932B7F" w14:paraId="4F4CA603" w14:textId="77777777" w:rsidTr="001F687A">
        <w:tc>
          <w:tcPr>
            <w:tcW w:w="2017" w:type="pct"/>
            <w:tcBorders>
              <w:top w:val="single" w:sz="6" w:space="0" w:color="auto"/>
              <w:left w:val="single" w:sz="6" w:space="0" w:color="auto"/>
              <w:bottom w:val="single" w:sz="6" w:space="0" w:color="auto"/>
              <w:right w:val="single" w:sz="6" w:space="0" w:color="auto"/>
            </w:tcBorders>
          </w:tcPr>
          <w:p w14:paraId="09286748" w14:textId="77777777" w:rsidR="00920E22" w:rsidRPr="00932B7F" w:rsidRDefault="00920E22" w:rsidP="002E560D">
            <w:r w:rsidRPr="00932B7F">
              <w:t>Иные сведения об обязательстве, указываемые эмитентом по собственному усмотрению</w:t>
            </w:r>
          </w:p>
        </w:tc>
        <w:tc>
          <w:tcPr>
            <w:tcW w:w="2983" w:type="pct"/>
            <w:tcBorders>
              <w:top w:val="single" w:sz="6" w:space="0" w:color="auto"/>
              <w:left w:val="single" w:sz="6" w:space="0" w:color="auto"/>
              <w:bottom w:val="single" w:sz="6" w:space="0" w:color="auto"/>
              <w:right w:val="single" w:sz="6" w:space="0" w:color="auto"/>
            </w:tcBorders>
          </w:tcPr>
          <w:p w14:paraId="6E0EF7FD" w14:textId="56A43D79" w:rsidR="00920E22" w:rsidRPr="001F687A" w:rsidRDefault="001F687A" w:rsidP="002E560D">
            <w:pPr>
              <w:rPr>
                <w:b/>
                <w:i/>
              </w:rPr>
            </w:pPr>
            <w:r>
              <w:rPr>
                <w:b/>
                <w:i/>
              </w:rPr>
              <w:t>-</w:t>
            </w:r>
          </w:p>
        </w:tc>
      </w:tr>
    </w:tbl>
    <w:p w14:paraId="2A898F1B" w14:textId="77777777" w:rsidR="00A907CA" w:rsidRPr="00932B7F" w:rsidRDefault="00A907CA">
      <w:pPr>
        <w:spacing w:line="239" w:lineRule="auto"/>
        <w:ind w:left="80"/>
        <w:rPr>
          <w:rFonts w:eastAsia="Tahoma"/>
          <w:b/>
          <w:bCs/>
        </w:rPr>
      </w:pPr>
    </w:p>
    <w:p w14:paraId="19071426" w14:textId="77777777" w:rsidR="00CC7A06" w:rsidRPr="00B07DC1" w:rsidRDefault="00CC7A06" w:rsidP="00CC7A06">
      <w:pPr>
        <w:jc w:val="both"/>
        <w:rPr>
          <w:b/>
          <w:i/>
        </w:rPr>
      </w:pPr>
      <w:bookmarkStart w:id="58" w:name="_Toc96338360"/>
      <w:bookmarkStart w:id="59" w:name="_Toc96338456"/>
      <w:bookmarkStart w:id="60" w:name="_Toc96338552"/>
      <w:bookmarkStart w:id="61" w:name="_Toc96338826"/>
      <w:r w:rsidRPr="00B07DC1">
        <w:rPr>
          <w:b/>
          <w:i/>
        </w:rPr>
        <w:t>Сумма облигационного займа по номинальной стоимости на 31.12.2023 отражена в составе долгосрочных обязательств и составила 14 000 000 тыс. рублей.</w:t>
      </w:r>
      <w:bookmarkEnd w:id="58"/>
      <w:bookmarkEnd w:id="59"/>
      <w:bookmarkEnd w:id="60"/>
      <w:bookmarkEnd w:id="61"/>
    </w:p>
    <w:p w14:paraId="3F9CC17C" w14:textId="77777777" w:rsidR="00CC7A06" w:rsidRPr="00D5389E" w:rsidRDefault="00CC7A06" w:rsidP="00CC7A06">
      <w:pPr>
        <w:jc w:val="both"/>
      </w:pPr>
    </w:p>
    <w:p w14:paraId="7BB7770D" w14:textId="77777777" w:rsidR="00CC7A06" w:rsidRPr="00B07DC1" w:rsidRDefault="00CC7A06" w:rsidP="00CC7A06">
      <w:pPr>
        <w:jc w:val="both"/>
        <w:rPr>
          <w:b/>
          <w:i/>
        </w:rPr>
      </w:pPr>
      <w:bookmarkStart w:id="62" w:name="_Toc96338361"/>
      <w:bookmarkStart w:id="63" w:name="_Toc96338457"/>
      <w:bookmarkStart w:id="64" w:name="_Toc96338553"/>
      <w:bookmarkStart w:id="65" w:name="_Toc96338827"/>
      <w:r w:rsidRPr="00B07DC1">
        <w:rPr>
          <w:b/>
          <w:i/>
        </w:rPr>
        <w:t>Сумма купонных платежей к уплате на 31.12.2023 отражена в составе текущих обязательств и составила 283 360 тыс. руб.</w:t>
      </w:r>
      <w:bookmarkEnd w:id="62"/>
      <w:bookmarkEnd w:id="63"/>
      <w:bookmarkEnd w:id="64"/>
      <w:bookmarkEnd w:id="65"/>
    </w:p>
    <w:p w14:paraId="782016C9" w14:textId="665D2C80" w:rsidR="00CC7A06" w:rsidRDefault="00CC7A06" w:rsidP="00610933">
      <w:pPr>
        <w:jc w:val="both"/>
      </w:pPr>
    </w:p>
    <w:p w14:paraId="1F8126BC" w14:textId="77777777" w:rsidR="00B07DC1" w:rsidRDefault="00B07DC1" w:rsidP="00610933">
      <w:pPr>
        <w:jc w:val="both"/>
      </w:pPr>
    </w:p>
    <w:p w14:paraId="7A7E0BFE" w14:textId="77777777" w:rsidR="00B07DC1" w:rsidRPr="004F6B50" w:rsidRDefault="00B07DC1" w:rsidP="00B07DC1">
      <w:pPr>
        <w:spacing w:line="239" w:lineRule="auto"/>
        <w:ind w:left="80"/>
        <w:jc w:val="center"/>
        <w:rPr>
          <w:rFonts w:eastAsia="Tahoma"/>
          <w:b/>
          <w:bCs/>
        </w:rPr>
      </w:pPr>
      <w:r w:rsidRPr="004F6B50">
        <w:rPr>
          <w:rFonts w:eastAsia="Tahoma"/>
          <w:b/>
          <w:bCs/>
        </w:rPr>
        <w:t>8</w:t>
      </w:r>
      <w:r w:rsidR="00725806" w:rsidRPr="004F6B50">
        <w:rPr>
          <w:rFonts w:eastAsia="Tahoma"/>
          <w:b/>
          <w:bCs/>
        </w:rPr>
        <w:t xml:space="preserve">. </w:t>
      </w:r>
      <w:r w:rsidRPr="004F6B50">
        <w:rPr>
          <w:rFonts w:eastAsia="Tahoma"/>
          <w:b/>
          <w:bCs/>
        </w:rPr>
        <w:t>ОБЯЗАТЕЛЬСТВА ОБЩЕСТВА ИЗ ОБЕСПЕЧЕНИЯ</w:t>
      </w:r>
      <w:r w:rsidR="00725806" w:rsidRPr="004F6B50">
        <w:rPr>
          <w:rFonts w:eastAsia="Tahoma"/>
          <w:b/>
          <w:bCs/>
        </w:rPr>
        <w:t xml:space="preserve">, </w:t>
      </w:r>
    </w:p>
    <w:p w14:paraId="77934671" w14:textId="38B7B3EB" w:rsidR="0067080E" w:rsidRPr="004F6B50" w:rsidRDefault="00B07DC1" w:rsidP="00B07DC1">
      <w:pPr>
        <w:spacing w:line="239" w:lineRule="auto"/>
        <w:ind w:left="80"/>
        <w:jc w:val="center"/>
        <w:rPr>
          <w:rFonts w:eastAsia="Tahoma"/>
          <w:b/>
          <w:bCs/>
        </w:rPr>
      </w:pPr>
      <w:r w:rsidRPr="004F6B50">
        <w:rPr>
          <w:rFonts w:eastAsia="Tahoma"/>
          <w:b/>
          <w:bCs/>
        </w:rPr>
        <w:t>ПРЕДОСТАВЛЕННОГО ТРЕТЬИМ ЛИЦАМ</w:t>
      </w:r>
    </w:p>
    <w:p w14:paraId="680263C5" w14:textId="77777777" w:rsidR="00C8755E" w:rsidRPr="00932B7F" w:rsidRDefault="00C8755E" w:rsidP="00B07DC1">
      <w:pPr>
        <w:spacing w:line="239" w:lineRule="auto"/>
      </w:pPr>
    </w:p>
    <w:p w14:paraId="3EBA6D2F" w14:textId="77777777" w:rsidR="0067080E" w:rsidRPr="00932B7F" w:rsidRDefault="0067080E">
      <w:pPr>
        <w:spacing w:line="38" w:lineRule="exact"/>
      </w:pPr>
    </w:p>
    <w:p w14:paraId="10FB7E24" w14:textId="5719C072" w:rsidR="0067080E" w:rsidRPr="00932B7F" w:rsidRDefault="00725806" w:rsidP="004F6B50">
      <w:pPr>
        <w:spacing w:line="239" w:lineRule="auto"/>
        <w:ind w:right="20"/>
        <w:jc w:val="both"/>
      </w:pPr>
      <w:r w:rsidRPr="00932B7F">
        <w:rPr>
          <w:rFonts w:eastAsia="Tahoma"/>
        </w:rPr>
        <w:t>Информация об общей сумме обязательств Общества из предоставленного им обеспечения и общей сумме обязательств третьих лиц, по которым Общество предоставило обеспечение, в том числе в форме залога или поручительства, с учетом ограниченной ответственности Общества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r w:rsidR="004F6B50">
        <w:rPr>
          <w:rFonts w:eastAsia="Tahoma"/>
        </w:rPr>
        <w:t>:</w:t>
      </w:r>
    </w:p>
    <w:p w14:paraId="1B22EB4B" w14:textId="77777777" w:rsidR="0067080E" w:rsidRPr="00932B7F" w:rsidRDefault="0067080E">
      <w:pPr>
        <w:spacing w:line="5" w:lineRule="exact"/>
      </w:pPr>
    </w:p>
    <w:p w14:paraId="25A96946" w14:textId="77777777" w:rsidR="00C8755E" w:rsidRPr="00932B7F" w:rsidRDefault="00C8755E" w:rsidP="006072F5">
      <w:pPr>
        <w:spacing w:line="239" w:lineRule="auto"/>
        <w:ind w:right="20" w:firstLine="567"/>
        <w:jc w:val="both"/>
        <w:rPr>
          <w:rFonts w:eastAsia="Tahoma"/>
          <w:b/>
          <w:bCs/>
          <w:i/>
          <w:iCs/>
        </w:rPr>
      </w:pPr>
    </w:p>
    <w:p w14:paraId="6F3871C7" w14:textId="0A2F7B09" w:rsidR="0067080E" w:rsidRPr="00932B7F" w:rsidRDefault="00725806" w:rsidP="004F6B50">
      <w:pPr>
        <w:spacing w:line="239" w:lineRule="auto"/>
        <w:ind w:right="20"/>
        <w:jc w:val="both"/>
      </w:pPr>
      <w:r w:rsidRPr="004F6B50">
        <w:rPr>
          <w:rFonts w:eastAsia="Tahoma"/>
          <w:b/>
          <w:i/>
        </w:rPr>
        <w:t>Обязательства по предоставлению обеспечений третьим лицам, в том числе в форме залога и поручительства</w:t>
      </w:r>
      <w:r w:rsidRPr="00932B7F">
        <w:rPr>
          <w:rFonts w:eastAsia="Tahoma"/>
          <w:b/>
          <w:bCs/>
          <w:i/>
          <w:iCs/>
        </w:rPr>
        <w:t xml:space="preserve"> отсутствуют</w:t>
      </w:r>
      <w:r w:rsidRPr="00932B7F">
        <w:rPr>
          <w:rFonts w:eastAsia="Tahoma"/>
        </w:rPr>
        <w:t>.</w:t>
      </w:r>
    </w:p>
    <w:p w14:paraId="6AD4D54B" w14:textId="25C432A9" w:rsidR="00A907CA" w:rsidRDefault="00A907CA">
      <w:pPr>
        <w:ind w:left="80"/>
        <w:rPr>
          <w:rFonts w:eastAsia="Tahoma"/>
          <w:b/>
          <w:bCs/>
        </w:rPr>
      </w:pPr>
    </w:p>
    <w:p w14:paraId="72D8312B" w14:textId="77777777" w:rsidR="00FB254C" w:rsidRPr="00932B7F" w:rsidRDefault="00FB254C">
      <w:pPr>
        <w:ind w:left="80"/>
        <w:rPr>
          <w:rFonts w:eastAsia="Tahoma"/>
          <w:b/>
          <w:bCs/>
        </w:rPr>
      </w:pPr>
    </w:p>
    <w:p w14:paraId="0C015B7D" w14:textId="0C4BD4DE" w:rsidR="0067080E" w:rsidRPr="001C6AFF" w:rsidRDefault="001C6AFF" w:rsidP="001C6AFF">
      <w:pPr>
        <w:jc w:val="center"/>
        <w:rPr>
          <w:rFonts w:eastAsia="Tahoma"/>
          <w:b/>
          <w:bCs/>
        </w:rPr>
      </w:pPr>
      <w:r w:rsidRPr="001C6AFF">
        <w:rPr>
          <w:rFonts w:eastAsia="Tahoma"/>
          <w:b/>
          <w:bCs/>
        </w:rPr>
        <w:t>9. ПОЛИТИКА ОБЩЕСТВА ПО ФИНАНСИРОВАНИЮ ОБОРОТНЫХ СРЕДСТВ</w:t>
      </w:r>
    </w:p>
    <w:p w14:paraId="7C5E917B" w14:textId="77777777" w:rsidR="00363128" w:rsidRPr="00932B7F" w:rsidRDefault="00363128" w:rsidP="004F6B50">
      <w:pPr>
        <w:rPr>
          <w:rFonts w:eastAsia="Tahoma"/>
          <w:bCs/>
        </w:rPr>
      </w:pPr>
    </w:p>
    <w:p w14:paraId="4153859D" w14:textId="72EB6141" w:rsidR="0067080E" w:rsidRPr="004F6B50" w:rsidRDefault="00297290" w:rsidP="004F6B50">
      <w:pPr>
        <w:spacing w:line="239" w:lineRule="auto"/>
        <w:ind w:right="160"/>
        <w:jc w:val="both"/>
        <w:rPr>
          <w:rFonts w:eastAsia="Tahoma"/>
          <w:b/>
          <w:bCs/>
          <w:i/>
        </w:rPr>
      </w:pPr>
      <w:r w:rsidRPr="004F6B50">
        <w:rPr>
          <w:rFonts w:eastAsia="Tahoma"/>
          <w:b/>
          <w:bCs/>
          <w:i/>
        </w:rPr>
        <w:t>О</w:t>
      </w:r>
      <w:r w:rsidR="00725806" w:rsidRPr="004F6B50">
        <w:rPr>
          <w:rFonts w:eastAsia="Tahoma"/>
          <w:b/>
          <w:bCs/>
          <w:i/>
        </w:rPr>
        <w:t>сновным критерием проведения политики в области финансирования оборотных средств Общества является оптимальное соотношение следующих факторов: стоимость ресурсов, оперативность получения средств, срок заимствования, договорные ограничения, требования к обеспечению, возможность досрочного погашения, а также валюта кредита, оперативность получения денежных средств, возможность досрочного погашения задолженности, частное/публичное привлечение средств, вид ставки (плавающая или фиксированная) и прочие менее значимые факторы.</w:t>
      </w:r>
    </w:p>
    <w:p w14:paraId="4AFEF7BE" w14:textId="77777777" w:rsidR="00AD2176" w:rsidRPr="00AD2176" w:rsidRDefault="00AD2176" w:rsidP="006072F5">
      <w:pPr>
        <w:spacing w:line="239" w:lineRule="auto"/>
        <w:ind w:right="160" w:firstLine="567"/>
        <w:jc w:val="both"/>
        <w:rPr>
          <w:rFonts w:eastAsia="Tahoma"/>
          <w:bCs/>
        </w:rPr>
      </w:pPr>
    </w:p>
    <w:p w14:paraId="3C39BA91" w14:textId="77777777" w:rsidR="0067080E" w:rsidRPr="00AD2176" w:rsidRDefault="0067080E" w:rsidP="006072F5">
      <w:pPr>
        <w:spacing w:line="5" w:lineRule="exact"/>
        <w:jc w:val="both"/>
        <w:rPr>
          <w:rFonts w:eastAsia="Tahoma"/>
          <w:bCs/>
        </w:rPr>
      </w:pPr>
    </w:p>
    <w:p w14:paraId="0DB7210C" w14:textId="77777777" w:rsidR="0067080E" w:rsidRPr="00363128" w:rsidRDefault="00725806" w:rsidP="004F6B50">
      <w:pPr>
        <w:spacing w:line="239" w:lineRule="auto"/>
        <w:ind w:right="160"/>
        <w:jc w:val="both"/>
        <w:rPr>
          <w:rFonts w:eastAsia="Tahoma"/>
          <w:b/>
          <w:bCs/>
          <w:i/>
        </w:rPr>
      </w:pPr>
      <w:r w:rsidRPr="00363128">
        <w:rPr>
          <w:rFonts w:eastAsia="Tahoma"/>
          <w:b/>
          <w:bCs/>
          <w:i/>
        </w:rPr>
        <w:t>Положительная кредитная история Общества и долгосрочное сотрудничество с контрагентами позволяют Обществу успешно сочетать собственную политику финансирования оборотных средств с возможностью дальнейшего рефинансирования и удешевления заимствований.</w:t>
      </w:r>
    </w:p>
    <w:p w14:paraId="457B9111" w14:textId="77777777" w:rsidR="0067080E" w:rsidRPr="00932B7F" w:rsidRDefault="0067080E">
      <w:pPr>
        <w:spacing w:line="246" w:lineRule="exact"/>
      </w:pPr>
    </w:p>
    <w:p w14:paraId="30790C7F" w14:textId="77777777" w:rsidR="0067080E" w:rsidRPr="00932B7F" w:rsidRDefault="00725806" w:rsidP="00363128">
      <w:pPr>
        <w:spacing w:line="238" w:lineRule="auto"/>
        <w:ind w:right="160"/>
        <w:jc w:val="both"/>
        <w:rPr>
          <w:rFonts w:eastAsia="Tahoma"/>
          <w:bCs/>
        </w:rPr>
      </w:pPr>
      <w:r w:rsidRPr="00932B7F">
        <w:rPr>
          <w:rFonts w:eastAsia="Tahoma"/>
          <w:bCs/>
        </w:rPr>
        <w:t>Факторы, которые могут повлечь изменение в политике финансирования оборотных средств, и оценка вероятности их появления:</w:t>
      </w:r>
    </w:p>
    <w:p w14:paraId="47151B62" w14:textId="77777777" w:rsidR="00363128" w:rsidRDefault="00363128" w:rsidP="00363128">
      <w:pPr>
        <w:spacing w:line="239" w:lineRule="auto"/>
        <w:ind w:right="160"/>
        <w:jc w:val="both"/>
        <w:rPr>
          <w:rFonts w:eastAsia="Tahoma"/>
          <w:bCs/>
        </w:rPr>
      </w:pPr>
    </w:p>
    <w:p w14:paraId="1CC2790A" w14:textId="1F8FA845" w:rsidR="0067080E" w:rsidRDefault="00725806" w:rsidP="00363128">
      <w:pPr>
        <w:spacing w:line="239" w:lineRule="auto"/>
        <w:ind w:right="160"/>
        <w:jc w:val="both"/>
        <w:rPr>
          <w:rFonts w:eastAsia="Tahoma"/>
          <w:b/>
          <w:bCs/>
          <w:i/>
        </w:rPr>
      </w:pPr>
      <w:r w:rsidRPr="00363128">
        <w:rPr>
          <w:rFonts w:eastAsia="Tahoma"/>
          <w:b/>
          <w:bCs/>
          <w:i/>
        </w:rPr>
        <w:t>Политика финансирования оборотных средств Общества может изменяться в зависимости от (I) потребностей в финансировании, (II) конъюнктуры рынка капитала, (III) оптимального соотношения структуры капитала.</w:t>
      </w:r>
    </w:p>
    <w:p w14:paraId="65372E6A" w14:textId="77777777" w:rsidR="00363128" w:rsidRPr="00363128" w:rsidRDefault="00363128" w:rsidP="00363128">
      <w:pPr>
        <w:spacing w:line="239" w:lineRule="auto"/>
        <w:ind w:right="160"/>
        <w:jc w:val="both"/>
        <w:rPr>
          <w:rFonts w:eastAsia="Tahoma"/>
          <w:b/>
          <w:bCs/>
          <w:i/>
        </w:rPr>
      </w:pPr>
    </w:p>
    <w:p w14:paraId="6BAA3FDC" w14:textId="77777777" w:rsidR="0067080E" w:rsidRPr="00363128" w:rsidRDefault="00725806" w:rsidP="00363128">
      <w:pPr>
        <w:spacing w:line="239" w:lineRule="auto"/>
        <w:rPr>
          <w:rFonts w:eastAsia="Tahoma"/>
          <w:b/>
          <w:bCs/>
          <w:i/>
        </w:rPr>
      </w:pPr>
      <w:r w:rsidRPr="00363128">
        <w:rPr>
          <w:rFonts w:eastAsia="Tahoma"/>
          <w:b/>
          <w:bCs/>
          <w:i/>
        </w:rPr>
        <w:t>На изменение политики по финансированию оборотных средств влияет:</w:t>
      </w:r>
    </w:p>
    <w:p w14:paraId="7D60C2D8" w14:textId="77777777" w:rsidR="0067080E" w:rsidRPr="00363128" w:rsidRDefault="0067080E">
      <w:pPr>
        <w:spacing w:line="3" w:lineRule="exact"/>
        <w:rPr>
          <w:rFonts w:eastAsia="Tahoma"/>
          <w:b/>
          <w:bCs/>
          <w:i/>
        </w:rPr>
      </w:pPr>
    </w:p>
    <w:p w14:paraId="041FD647" w14:textId="77777777" w:rsidR="006E0D09" w:rsidRPr="00363128" w:rsidRDefault="00F65358" w:rsidP="00F65358">
      <w:pPr>
        <w:tabs>
          <w:tab w:val="left" w:pos="828"/>
        </w:tabs>
        <w:spacing w:line="237" w:lineRule="auto"/>
        <w:ind w:right="160"/>
        <w:jc w:val="both"/>
        <w:rPr>
          <w:rFonts w:eastAsia="Tahoma"/>
          <w:b/>
          <w:bCs/>
          <w:i/>
        </w:rPr>
      </w:pPr>
      <w:r w:rsidRPr="00363128">
        <w:rPr>
          <w:rFonts w:eastAsia="Tahoma"/>
          <w:b/>
          <w:bCs/>
          <w:i/>
        </w:rPr>
        <w:t xml:space="preserve">- </w:t>
      </w:r>
      <w:r w:rsidR="006E0D09" w:rsidRPr="00363128">
        <w:rPr>
          <w:rFonts w:eastAsia="Tahoma"/>
          <w:b/>
          <w:bCs/>
          <w:i/>
        </w:rPr>
        <w:t>изменение финансово-хозяйственных планов Общества;</w:t>
      </w:r>
    </w:p>
    <w:p w14:paraId="546C145E" w14:textId="77777777" w:rsidR="0067080E" w:rsidRPr="00363128" w:rsidRDefault="0067080E" w:rsidP="006072F5">
      <w:pPr>
        <w:spacing w:line="4" w:lineRule="exact"/>
        <w:rPr>
          <w:rFonts w:eastAsia="Tahoma"/>
          <w:b/>
          <w:bCs/>
          <w:i/>
        </w:rPr>
      </w:pPr>
    </w:p>
    <w:p w14:paraId="51564B4A" w14:textId="08C83272" w:rsidR="0067080E" w:rsidRPr="00363128" w:rsidRDefault="00F65358" w:rsidP="00F65358">
      <w:pPr>
        <w:tabs>
          <w:tab w:val="left" w:pos="828"/>
        </w:tabs>
        <w:spacing w:line="237" w:lineRule="auto"/>
        <w:ind w:right="160"/>
        <w:jc w:val="both"/>
        <w:rPr>
          <w:rFonts w:eastAsia="Tahoma"/>
          <w:b/>
          <w:bCs/>
          <w:i/>
        </w:rPr>
      </w:pPr>
      <w:r w:rsidRPr="00363128">
        <w:rPr>
          <w:rFonts w:eastAsia="Tahoma"/>
          <w:b/>
          <w:bCs/>
          <w:i/>
        </w:rPr>
        <w:t xml:space="preserve">- </w:t>
      </w:r>
      <w:r w:rsidR="00725806" w:rsidRPr="00363128">
        <w:rPr>
          <w:rFonts w:eastAsia="Tahoma"/>
          <w:b/>
          <w:bCs/>
          <w:i/>
        </w:rPr>
        <w:t>изменение процентных ставок на заемные финансовые ресурсы как на рынке публичных заимствований, так и банковского кредитования (вероятность появления - высокая);</w:t>
      </w:r>
    </w:p>
    <w:p w14:paraId="76933A5C" w14:textId="77777777" w:rsidR="0067080E" w:rsidRPr="00363128" w:rsidRDefault="0067080E" w:rsidP="006072F5">
      <w:pPr>
        <w:spacing w:line="2" w:lineRule="exact"/>
        <w:rPr>
          <w:rFonts w:eastAsia="Tahoma"/>
          <w:b/>
          <w:bCs/>
          <w:i/>
        </w:rPr>
      </w:pPr>
    </w:p>
    <w:p w14:paraId="0932CB85" w14:textId="0FC858AB" w:rsidR="0067080E" w:rsidRDefault="00F65358" w:rsidP="00F65358">
      <w:pPr>
        <w:tabs>
          <w:tab w:val="left" w:pos="828"/>
        </w:tabs>
        <w:spacing w:line="237" w:lineRule="auto"/>
        <w:ind w:right="160"/>
        <w:jc w:val="both"/>
        <w:rPr>
          <w:rFonts w:eastAsia="Tahoma"/>
          <w:b/>
          <w:bCs/>
          <w:i/>
        </w:rPr>
      </w:pPr>
      <w:r w:rsidRPr="00363128">
        <w:rPr>
          <w:rFonts w:eastAsia="Tahoma"/>
          <w:b/>
          <w:bCs/>
          <w:i/>
        </w:rPr>
        <w:t xml:space="preserve">- </w:t>
      </w:r>
      <w:r w:rsidR="00725806" w:rsidRPr="00363128">
        <w:rPr>
          <w:rFonts w:eastAsia="Tahoma"/>
          <w:b/>
          <w:bCs/>
          <w:i/>
        </w:rPr>
        <w:t>сокращение размера собственных средств для пополнения оборотного капитала (вероятность появления – минимальная).</w:t>
      </w:r>
    </w:p>
    <w:p w14:paraId="13FE5856" w14:textId="77777777" w:rsidR="00363128" w:rsidRPr="00363128" w:rsidRDefault="00363128" w:rsidP="00F65358">
      <w:pPr>
        <w:tabs>
          <w:tab w:val="left" w:pos="828"/>
        </w:tabs>
        <w:spacing w:line="237" w:lineRule="auto"/>
        <w:ind w:right="160"/>
        <w:jc w:val="both"/>
        <w:rPr>
          <w:rFonts w:eastAsia="Tahoma"/>
          <w:b/>
          <w:bCs/>
          <w:i/>
        </w:rPr>
      </w:pPr>
    </w:p>
    <w:p w14:paraId="7CB65699" w14:textId="77777777" w:rsidR="0067080E" w:rsidRPr="00363128" w:rsidRDefault="0067080E">
      <w:pPr>
        <w:spacing w:line="5" w:lineRule="exact"/>
        <w:rPr>
          <w:rFonts w:eastAsia="Symbol"/>
          <w:b/>
          <w:i/>
        </w:rPr>
      </w:pPr>
    </w:p>
    <w:p w14:paraId="7A252F01" w14:textId="77777777" w:rsidR="0067080E" w:rsidRPr="00363128" w:rsidRDefault="00725806" w:rsidP="00363128">
      <w:pPr>
        <w:spacing w:line="238" w:lineRule="auto"/>
        <w:ind w:right="160"/>
        <w:jc w:val="both"/>
        <w:rPr>
          <w:rFonts w:eastAsia="Tahoma"/>
          <w:b/>
          <w:bCs/>
          <w:i/>
        </w:rPr>
      </w:pPr>
      <w:r w:rsidRPr="00363128">
        <w:rPr>
          <w:rFonts w:eastAsia="Tahoma"/>
          <w:b/>
          <w:bCs/>
          <w:i/>
        </w:rPr>
        <w:t>Вероятность изменения политики по финансированию оборотных средств Обществ</w:t>
      </w:r>
      <w:r w:rsidR="00B22C67" w:rsidRPr="00363128">
        <w:rPr>
          <w:rFonts w:eastAsia="Tahoma"/>
          <w:b/>
          <w:bCs/>
          <w:i/>
        </w:rPr>
        <w:t>а</w:t>
      </w:r>
      <w:r w:rsidRPr="00363128">
        <w:rPr>
          <w:rFonts w:eastAsia="Tahoma"/>
          <w:b/>
          <w:bCs/>
          <w:i/>
        </w:rPr>
        <w:t>, в целом, оценивает</w:t>
      </w:r>
      <w:r w:rsidR="00F65358" w:rsidRPr="00363128">
        <w:rPr>
          <w:rFonts w:eastAsia="Tahoma"/>
          <w:b/>
          <w:bCs/>
          <w:i/>
        </w:rPr>
        <w:t>ся</w:t>
      </w:r>
      <w:r w:rsidRPr="00363128">
        <w:rPr>
          <w:rFonts w:eastAsia="Tahoma"/>
          <w:b/>
          <w:bCs/>
          <w:i/>
        </w:rPr>
        <w:t xml:space="preserve"> как низк</w:t>
      </w:r>
      <w:r w:rsidR="00F65358" w:rsidRPr="00363128">
        <w:rPr>
          <w:rFonts w:eastAsia="Tahoma"/>
          <w:b/>
          <w:bCs/>
          <w:i/>
        </w:rPr>
        <w:t>ая</w:t>
      </w:r>
      <w:r w:rsidRPr="00363128">
        <w:rPr>
          <w:rFonts w:eastAsia="Tahoma"/>
          <w:b/>
          <w:bCs/>
          <w:i/>
        </w:rPr>
        <w:t>.</w:t>
      </w:r>
    </w:p>
    <w:p w14:paraId="7F892A47" w14:textId="6AE32C2A" w:rsidR="0067080E" w:rsidRDefault="0067080E" w:rsidP="006072F5">
      <w:pPr>
        <w:spacing w:line="246" w:lineRule="exact"/>
        <w:ind w:firstLine="567"/>
        <w:rPr>
          <w:b/>
          <w:i/>
        </w:rPr>
      </w:pPr>
    </w:p>
    <w:p w14:paraId="282236AE" w14:textId="77777777" w:rsidR="00FB254C" w:rsidRPr="00932B7F" w:rsidRDefault="00FB254C" w:rsidP="006072F5">
      <w:pPr>
        <w:spacing w:line="246" w:lineRule="exact"/>
        <w:ind w:firstLine="567"/>
        <w:rPr>
          <w:b/>
          <w:i/>
        </w:rPr>
      </w:pPr>
    </w:p>
    <w:p w14:paraId="6FCCBFC3" w14:textId="43AE553E" w:rsidR="00363128" w:rsidRDefault="001C6AFF" w:rsidP="00363128">
      <w:pPr>
        <w:spacing w:line="238" w:lineRule="auto"/>
        <w:ind w:right="160" w:firstLine="567"/>
        <w:jc w:val="center"/>
        <w:rPr>
          <w:rFonts w:eastAsia="Tahoma"/>
          <w:b/>
          <w:bCs/>
        </w:rPr>
      </w:pPr>
      <w:r>
        <w:rPr>
          <w:rFonts w:eastAsia="Tahoma"/>
          <w:b/>
          <w:bCs/>
        </w:rPr>
        <w:t>10</w:t>
      </w:r>
      <w:r w:rsidR="00725806" w:rsidRPr="008A5F91">
        <w:rPr>
          <w:rFonts w:eastAsia="Tahoma"/>
          <w:b/>
          <w:bCs/>
        </w:rPr>
        <w:t xml:space="preserve">. </w:t>
      </w:r>
      <w:r w:rsidR="00363128" w:rsidRPr="008A5F91">
        <w:rPr>
          <w:rFonts w:eastAsia="Tahoma"/>
          <w:b/>
          <w:bCs/>
        </w:rPr>
        <w:t>ФИНАНСОВЫЕ ВЛОЖЕНИЯ ОБЩЕСТВА</w:t>
      </w:r>
    </w:p>
    <w:p w14:paraId="76938718" w14:textId="77777777" w:rsidR="00363128" w:rsidRDefault="00363128" w:rsidP="00363128">
      <w:pPr>
        <w:spacing w:line="238" w:lineRule="auto"/>
        <w:ind w:right="160"/>
        <w:jc w:val="both"/>
        <w:rPr>
          <w:rFonts w:eastAsia="Tahoma"/>
          <w:b/>
          <w:bCs/>
        </w:rPr>
      </w:pPr>
    </w:p>
    <w:p w14:paraId="4C27DBCE" w14:textId="14B295D6" w:rsidR="0067080E" w:rsidRPr="00363128" w:rsidRDefault="00363128" w:rsidP="00363128">
      <w:pPr>
        <w:spacing w:line="238" w:lineRule="auto"/>
        <w:ind w:right="160"/>
        <w:jc w:val="both"/>
        <w:rPr>
          <w:rFonts w:eastAsia="Tahoma"/>
          <w:bCs/>
        </w:rPr>
      </w:pPr>
      <w:r w:rsidRPr="00363128">
        <w:rPr>
          <w:rFonts w:eastAsia="Tahoma"/>
          <w:bCs/>
        </w:rPr>
        <w:t xml:space="preserve">Перечень финансовых </w:t>
      </w:r>
      <w:r w:rsidR="00725806" w:rsidRPr="00363128">
        <w:rPr>
          <w:rFonts w:eastAsia="Tahoma"/>
          <w:bCs/>
        </w:rPr>
        <w:t>вложений Общества, которые составляют 10 и более процентов всех его</w:t>
      </w:r>
      <w:r w:rsidR="005A1465" w:rsidRPr="00363128">
        <w:rPr>
          <w:rFonts w:eastAsia="Tahoma"/>
          <w:bCs/>
        </w:rPr>
        <w:t xml:space="preserve"> </w:t>
      </w:r>
      <w:r w:rsidR="00725806" w:rsidRPr="00363128">
        <w:rPr>
          <w:rFonts w:eastAsia="Tahoma"/>
          <w:bCs/>
        </w:rPr>
        <w:t>финансовых вложений на конец 20</w:t>
      </w:r>
      <w:r w:rsidR="00A959A8" w:rsidRPr="00363128">
        <w:rPr>
          <w:rFonts w:eastAsia="Tahoma"/>
          <w:bCs/>
        </w:rPr>
        <w:t>2</w:t>
      </w:r>
      <w:r w:rsidR="00467DAA" w:rsidRPr="00363128">
        <w:rPr>
          <w:rFonts w:eastAsia="Tahoma"/>
          <w:bCs/>
        </w:rPr>
        <w:t>3</w:t>
      </w:r>
      <w:r w:rsidR="00725806" w:rsidRPr="00363128">
        <w:rPr>
          <w:rFonts w:eastAsia="Tahoma"/>
          <w:bCs/>
        </w:rPr>
        <w:t xml:space="preserve"> финансового года</w:t>
      </w:r>
      <w:r>
        <w:rPr>
          <w:rFonts w:eastAsia="Tahoma"/>
          <w:bCs/>
        </w:rPr>
        <w:t>:</w:t>
      </w:r>
    </w:p>
    <w:p w14:paraId="30284AF9" w14:textId="77777777" w:rsidR="005A1465" w:rsidRPr="00932B7F" w:rsidRDefault="005A1465" w:rsidP="005A1465">
      <w:pPr>
        <w:jc w:val="both"/>
        <w:rPr>
          <w:rStyle w:val="Subst"/>
          <w:bCs/>
          <w:iCs/>
        </w:rPr>
      </w:pPr>
    </w:p>
    <w:p w14:paraId="14D103D5" w14:textId="1AE66D8E" w:rsidR="00643AFB" w:rsidRPr="00363128" w:rsidRDefault="00643AFB" w:rsidP="00363128">
      <w:pPr>
        <w:spacing w:after="120"/>
        <w:jc w:val="both"/>
        <w:rPr>
          <w:b/>
          <w:i/>
          <w:lang w:eastAsia="en-US"/>
        </w:rPr>
      </w:pPr>
      <w:bookmarkStart w:id="66" w:name="page10"/>
      <w:bookmarkEnd w:id="66"/>
      <w:r w:rsidRPr="00363128">
        <w:rPr>
          <w:b/>
          <w:i/>
          <w:lang w:eastAsia="en-US"/>
        </w:rPr>
        <w:t>На дату окончания последнего завершенного отчетного года (31 декабря 20</w:t>
      </w:r>
      <w:r w:rsidR="00A959A8" w:rsidRPr="00363128">
        <w:rPr>
          <w:b/>
          <w:i/>
          <w:lang w:eastAsia="en-US"/>
        </w:rPr>
        <w:t>2</w:t>
      </w:r>
      <w:r w:rsidR="00467DAA" w:rsidRPr="00363128">
        <w:rPr>
          <w:b/>
          <w:i/>
          <w:lang w:eastAsia="en-US"/>
        </w:rPr>
        <w:t>3</w:t>
      </w:r>
      <w:r w:rsidRPr="00363128">
        <w:rPr>
          <w:b/>
          <w:i/>
          <w:lang w:eastAsia="en-US"/>
        </w:rPr>
        <w:t xml:space="preserve"> года)</w:t>
      </w:r>
    </w:p>
    <w:p w14:paraId="318CBFE5" w14:textId="67EC8089" w:rsidR="00643AFB" w:rsidRPr="00932B7F" w:rsidRDefault="00643AFB" w:rsidP="00363128">
      <w:pPr>
        <w:spacing w:after="120"/>
        <w:jc w:val="both"/>
        <w:rPr>
          <w:lang w:eastAsia="en-US"/>
        </w:rPr>
      </w:pPr>
      <w:r w:rsidRPr="00932B7F">
        <w:rPr>
          <w:lang w:eastAsia="en-US"/>
        </w:rPr>
        <w:t>Перечень финансовых вложений эмитента, которые составляют 5 и более процентов всех его финансовых вложений на 31 декабря 20</w:t>
      </w:r>
      <w:r w:rsidR="00A959A8" w:rsidRPr="00932B7F">
        <w:rPr>
          <w:lang w:eastAsia="en-US"/>
        </w:rPr>
        <w:t>2</w:t>
      </w:r>
      <w:r w:rsidR="00C0661A">
        <w:rPr>
          <w:lang w:eastAsia="en-US"/>
        </w:rPr>
        <w:t>3</w:t>
      </w:r>
      <w:r w:rsidRPr="00932B7F">
        <w:rPr>
          <w:lang w:eastAsia="en-US"/>
        </w:rPr>
        <w:t xml:space="preserve"> года</w:t>
      </w:r>
      <w:r w:rsidR="00F65358" w:rsidRPr="00932B7F">
        <w:rPr>
          <w:lang w:eastAsia="en-US"/>
        </w:rPr>
        <w:t>:</w:t>
      </w:r>
    </w:p>
    <w:p w14:paraId="7FAA92E6" w14:textId="3573F4E4" w:rsidR="00643AFB" w:rsidRPr="008A5F91" w:rsidRDefault="00643AFB" w:rsidP="00FB254C">
      <w:pPr>
        <w:spacing w:after="120"/>
        <w:jc w:val="both"/>
        <w:rPr>
          <w:u w:val="single"/>
          <w:lang w:eastAsia="en-US"/>
        </w:rPr>
      </w:pPr>
      <w:r w:rsidRPr="00932B7F">
        <w:rPr>
          <w:u w:val="single"/>
          <w:lang w:eastAsia="en-US"/>
        </w:rPr>
        <w:t>Эмиссионные ценные бумаги</w:t>
      </w:r>
      <w:r w:rsidR="008A5F91" w:rsidRPr="008A5F91">
        <w:rPr>
          <w:u w:val="single"/>
          <w:lang w:eastAsia="en-US"/>
        </w:rPr>
        <w:t>:</w:t>
      </w:r>
    </w:p>
    <w:p w14:paraId="4DD2722C" w14:textId="77777777" w:rsidR="00643AFB" w:rsidRPr="00363128" w:rsidRDefault="00643AFB" w:rsidP="00FB254C">
      <w:pPr>
        <w:spacing w:before="120" w:after="120"/>
        <w:jc w:val="both"/>
        <w:rPr>
          <w:b/>
          <w:bCs/>
          <w:i/>
          <w:iCs/>
        </w:rPr>
      </w:pPr>
      <w:r w:rsidRPr="00363128">
        <w:rPr>
          <w:b/>
          <w:bCs/>
          <w:i/>
          <w:iCs/>
        </w:rPr>
        <w:t>Вложения в эмиссионные ценные бумаги, составляющие 5 и более процентов всех финансовых вложений, отсутствуют.</w:t>
      </w:r>
    </w:p>
    <w:p w14:paraId="1D72DC20" w14:textId="3C86A333" w:rsidR="007C65BD" w:rsidRPr="008A5F91" w:rsidRDefault="007C65BD" w:rsidP="00FB254C">
      <w:pPr>
        <w:spacing w:after="120"/>
        <w:jc w:val="both"/>
        <w:rPr>
          <w:u w:val="single"/>
          <w:lang w:eastAsia="en-US"/>
        </w:rPr>
      </w:pPr>
      <w:proofErr w:type="spellStart"/>
      <w:r w:rsidRPr="00932B7F">
        <w:rPr>
          <w:u w:val="single"/>
          <w:lang w:eastAsia="en-US"/>
        </w:rPr>
        <w:t>Неэмиссионные</w:t>
      </w:r>
      <w:proofErr w:type="spellEnd"/>
      <w:r w:rsidRPr="00932B7F">
        <w:rPr>
          <w:u w:val="single"/>
          <w:lang w:eastAsia="en-US"/>
        </w:rPr>
        <w:t xml:space="preserve"> ценные бумаги</w:t>
      </w:r>
      <w:r w:rsidR="008A5F91" w:rsidRPr="008A5F91">
        <w:rPr>
          <w:u w:val="single"/>
          <w:lang w:eastAsia="en-US"/>
        </w:rPr>
        <w:t>:</w:t>
      </w:r>
    </w:p>
    <w:p w14:paraId="5A737ECE" w14:textId="4723655E" w:rsidR="007C65BD" w:rsidRPr="00363128" w:rsidRDefault="007C65BD" w:rsidP="007C65BD">
      <w:pPr>
        <w:jc w:val="both"/>
      </w:pPr>
      <w:r w:rsidRPr="00363128">
        <w:rPr>
          <w:rStyle w:val="Subst"/>
          <w:bCs/>
          <w:iCs/>
        </w:rPr>
        <w:t>Вложени</w:t>
      </w:r>
      <w:r w:rsidR="00680FC6" w:rsidRPr="00363128">
        <w:rPr>
          <w:rStyle w:val="Subst"/>
          <w:bCs/>
          <w:iCs/>
        </w:rPr>
        <w:t>я</w:t>
      </w:r>
      <w:r w:rsidRPr="00363128">
        <w:rPr>
          <w:rStyle w:val="Subst"/>
          <w:bCs/>
          <w:iCs/>
        </w:rPr>
        <w:t xml:space="preserve"> в </w:t>
      </w:r>
      <w:proofErr w:type="spellStart"/>
      <w:r w:rsidRPr="00363128">
        <w:rPr>
          <w:rStyle w:val="Subst"/>
          <w:bCs/>
          <w:iCs/>
        </w:rPr>
        <w:t>неэмиссионные</w:t>
      </w:r>
      <w:proofErr w:type="spellEnd"/>
      <w:r w:rsidRPr="00363128">
        <w:rPr>
          <w:rStyle w:val="Subst"/>
          <w:bCs/>
          <w:iCs/>
        </w:rPr>
        <w:t xml:space="preserve"> ценные бумаги, составляющих 5 и более процентов всех финансовых вложений</w:t>
      </w:r>
      <w:r w:rsidR="008A5F91" w:rsidRPr="00363128">
        <w:rPr>
          <w:rStyle w:val="Subst"/>
          <w:bCs/>
          <w:iCs/>
        </w:rPr>
        <w:t>:</w:t>
      </w:r>
      <w:r w:rsidRPr="00363128">
        <w:rPr>
          <w:rStyle w:val="Subst"/>
          <w:bCs/>
          <w:iCs/>
        </w:rPr>
        <w:t xml:space="preserve"> </w:t>
      </w:r>
      <w:r w:rsidR="00680FC6" w:rsidRPr="00363128">
        <w:rPr>
          <w:rStyle w:val="Subst"/>
          <w:bCs/>
          <w:iCs/>
        </w:rPr>
        <w:t>отсутствуют.</w:t>
      </w:r>
    </w:p>
    <w:p w14:paraId="098184C0" w14:textId="77777777" w:rsidR="008A5F91" w:rsidRDefault="00643AFB" w:rsidP="00363128">
      <w:pPr>
        <w:spacing w:before="120" w:after="120" w:line="22" w:lineRule="atLeast"/>
        <w:jc w:val="both"/>
        <w:rPr>
          <w:bCs/>
          <w:iCs/>
        </w:rPr>
      </w:pPr>
      <w:r w:rsidRPr="00932B7F">
        <w:rPr>
          <w:bCs/>
          <w:iCs/>
        </w:rPr>
        <w:t xml:space="preserve">В случае если средства эмитента размещены на депозитных или иных счетах в банках и иных кредитных организациях, лицензии которых были приостановлены либо отозваны,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приводятся сведения о величине убытков (потенциальных убытков) в связи с наступлением таких событий: </w:t>
      </w:r>
    </w:p>
    <w:p w14:paraId="64FDCEC0" w14:textId="690EBB72" w:rsidR="00643AFB" w:rsidRPr="00932B7F" w:rsidRDefault="00363128" w:rsidP="00363128">
      <w:pPr>
        <w:spacing w:before="120" w:after="120" w:line="22" w:lineRule="atLeast"/>
        <w:jc w:val="both"/>
        <w:rPr>
          <w:bCs/>
          <w:iCs/>
        </w:rPr>
      </w:pPr>
      <w:r>
        <w:rPr>
          <w:b/>
          <w:bCs/>
          <w:i/>
          <w:iCs/>
        </w:rPr>
        <w:t>Т</w:t>
      </w:r>
      <w:r w:rsidR="00643AFB" w:rsidRPr="00932B7F">
        <w:rPr>
          <w:b/>
          <w:bCs/>
          <w:i/>
          <w:iCs/>
        </w:rPr>
        <w:t>акие средства отсутствуют</w:t>
      </w:r>
      <w:r>
        <w:rPr>
          <w:bCs/>
          <w:iCs/>
        </w:rPr>
        <w:t>.</w:t>
      </w:r>
    </w:p>
    <w:p w14:paraId="77F18805" w14:textId="34D15C1E" w:rsidR="00643AFB" w:rsidRPr="00932B7F" w:rsidRDefault="00643AFB" w:rsidP="00363128">
      <w:pPr>
        <w:spacing w:before="120" w:after="120" w:line="22" w:lineRule="atLeast"/>
        <w:jc w:val="both"/>
      </w:pPr>
      <w:r w:rsidRPr="00932B7F">
        <w:t xml:space="preserve">Стандарты (правила) бухгалтерской отчетности, в соответствии с которыми эмитент произвел расчеты, отраженные в настоящем пункте </w:t>
      </w:r>
      <w:r w:rsidR="00FB4324">
        <w:t>годового</w:t>
      </w:r>
      <w:r w:rsidR="00FB4324" w:rsidRPr="00932B7F">
        <w:t xml:space="preserve"> </w:t>
      </w:r>
      <w:r w:rsidRPr="00932B7F">
        <w:t>отчета:</w:t>
      </w:r>
    </w:p>
    <w:p w14:paraId="07FC13B8" w14:textId="77777777" w:rsidR="00643AFB" w:rsidRPr="00932B7F" w:rsidRDefault="00643AFB" w:rsidP="00363128">
      <w:pPr>
        <w:spacing w:before="120" w:after="120" w:line="22" w:lineRule="atLeast"/>
        <w:jc w:val="both"/>
        <w:rPr>
          <w:u w:val="single"/>
        </w:rPr>
      </w:pPr>
      <w:r w:rsidRPr="00932B7F">
        <w:rPr>
          <w:b/>
          <w:bCs/>
          <w:i/>
          <w:iCs/>
        </w:rPr>
        <w:t>Финансовые вложения учитываются предприятием на б/с 58 в соответствии с ПБУ 19/02 «Учет финансовых вложений», утвержденным Приказом Министерства финансов Российской Федерации от 10.12.2002 г. №126н.</w:t>
      </w:r>
    </w:p>
    <w:p w14:paraId="6C8D1C88" w14:textId="43986895" w:rsidR="0067080E" w:rsidRDefault="0067080E">
      <w:pPr>
        <w:spacing w:line="244" w:lineRule="exact"/>
      </w:pPr>
    </w:p>
    <w:p w14:paraId="48F0FEE2" w14:textId="77777777" w:rsidR="00FB254C" w:rsidRPr="00932B7F" w:rsidRDefault="00FB254C">
      <w:pPr>
        <w:spacing w:line="244" w:lineRule="exact"/>
      </w:pPr>
    </w:p>
    <w:p w14:paraId="4C278A32" w14:textId="7EFFF3E0" w:rsidR="00363128" w:rsidRDefault="00363128" w:rsidP="00363128">
      <w:pPr>
        <w:spacing w:line="239" w:lineRule="auto"/>
        <w:ind w:firstLine="567"/>
        <w:jc w:val="center"/>
        <w:rPr>
          <w:rFonts w:eastAsia="Tahoma"/>
          <w:b/>
          <w:bCs/>
        </w:rPr>
      </w:pPr>
      <w:r>
        <w:rPr>
          <w:rFonts w:eastAsia="Tahoma"/>
          <w:b/>
          <w:bCs/>
        </w:rPr>
        <w:t>1</w:t>
      </w:r>
      <w:r w:rsidR="001C6AFF">
        <w:rPr>
          <w:rFonts w:eastAsia="Tahoma"/>
          <w:b/>
          <w:bCs/>
        </w:rPr>
        <w:t>1</w:t>
      </w:r>
      <w:r w:rsidR="00725806" w:rsidRPr="00932B7F">
        <w:rPr>
          <w:rFonts w:eastAsia="Tahoma"/>
          <w:b/>
          <w:bCs/>
        </w:rPr>
        <w:t xml:space="preserve">. </w:t>
      </w:r>
      <w:r w:rsidRPr="00932B7F">
        <w:rPr>
          <w:rFonts w:eastAsia="Tahoma"/>
          <w:b/>
          <w:bCs/>
        </w:rPr>
        <w:t>НЕМАТЕРИАЛЬНЫЕ АКТИВЫ ОБЩЕСТВА</w:t>
      </w:r>
    </w:p>
    <w:p w14:paraId="6B76671D" w14:textId="77777777" w:rsidR="00363128" w:rsidRDefault="00363128" w:rsidP="00363128">
      <w:pPr>
        <w:spacing w:line="239" w:lineRule="auto"/>
        <w:jc w:val="both"/>
        <w:rPr>
          <w:rFonts w:eastAsia="Tahoma"/>
          <w:b/>
          <w:bCs/>
        </w:rPr>
      </w:pPr>
    </w:p>
    <w:p w14:paraId="7C8C916D" w14:textId="23ED8E3C" w:rsidR="0067080E" w:rsidRPr="00363128" w:rsidRDefault="00725806" w:rsidP="00363128">
      <w:pPr>
        <w:spacing w:line="239" w:lineRule="auto"/>
        <w:jc w:val="both"/>
        <w:rPr>
          <w:rFonts w:eastAsia="Tahoma"/>
          <w:bCs/>
        </w:rPr>
      </w:pPr>
      <w:r w:rsidRPr="00363128">
        <w:rPr>
          <w:rFonts w:eastAsia="Tahoma"/>
          <w:bCs/>
        </w:rPr>
        <w:t>Информация о составе, о первоначальной (восстановительной) стоимости нематериальных активов и величине начисленной амортизации за 4 последних завершенных финансовых лет, если данные сведения не были отражены в бухгалтерской (финансовой) отчетности Общества за соответствующий период:</w:t>
      </w:r>
    </w:p>
    <w:p w14:paraId="37B404E6" w14:textId="77777777" w:rsidR="005A1465" w:rsidRPr="00932B7F" w:rsidRDefault="005A1465" w:rsidP="006072F5">
      <w:pPr>
        <w:spacing w:line="239" w:lineRule="auto"/>
        <w:ind w:firstLine="567"/>
        <w:jc w:val="both"/>
      </w:pPr>
    </w:p>
    <w:p w14:paraId="102CC09A" w14:textId="77777777" w:rsidR="0067080E" w:rsidRPr="00932B7F" w:rsidRDefault="0067080E">
      <w:pPr>
        <w:spacing w:line="1" w:lineRule="exact"/>
      </w:pPr>
    </w:p>
    <w:p w14:paraId="1FE58DA4" w14:textId="766BD9A7" w:rsidR="0067080E" w:rsidRPr="00363128" w:rsidRDefault="005A1465" w:rsidP="00363128">
      <w:pPr>
        <w:rPr>
          <w:b/>
          <w:i/>
        </w:rPr>
      </w:pPr>
      <w:r w:rsidRPr="00363128">
        <w:rPr>
          <w:b/>
          <w:i/>
        </w:rPr>
        <w:t>На 31.12.20</w:t>
      </w:r>
      <w:r w:rsidR="00A959A8" w:rsidRPr="00363128">
        <w:rPr>
          <w:b/>
          <w:i/>
        </w:rPr>
        <w:t>2</w:t>
      </w:r>
      <w:r w:rsidR="000B34E1" w:rsidRPr="00363128">
        <w:rPr>
          <w:b/>
          <w:i/>
        </w:rPr>
        <w:t>3</w:t>
      </w:r>
      <w:r w:rsidRPr="00363128">
        <w:rPr>
          <w:b/>
          <w:i/>
        </w:rPr>
        <w:t xml:space="preserve"> Общество не имело нематериальных активов. </w:t>
      </w:r>
    </w:p>
    <w:p w14:paraId="4477A12C" w14:textId="77777777" w:rsidR="0067080E" w:rsidRPr="00932B7F" w:rsidRDefault="0067080E">
      <w:pPr>
        <w:spacing w:line="244" w:lineRule="exact"/>
      </w:pPr>
    </w:p>
    <w:p w14:paraId="3C6EF199" w14:textId="77777777" w:rsidR="0067080E" w:rsidRPr="00932B7F" w:rsidRDefault="00725806">
      <w:pPr>
        <w:spacing w:line="239" w:lineRule="auto"/>
        <w:jc w:val="both"/>
        <w:rPr>
          <w:rFonts w:eastAsia="Tahoma"/>
          <w:bCs/>
        </w:rPr>
      </w:pPr>
      <w:r w:rsidRPr="00932B7F">
        <w:rPr>
          <w:rFonts w:eastAsia="Tahoma"/>
          <w:bCs/>
        </w:rPr>
        <w:t>В случае взноса нематериальных активов в уставный капитал или поступления в безвозмездном порядке раскрывается информация о методах оценки нематериальных активов и их оценочной стоимости:</w:t>
      </w:r>
    </w:p>
    <w:p w14:paraId="0737418B" w14:textId="77777777" w:rsidR="00F65358" w:rsidRPr="00932B7F" w:rsidRDefault="00F65358">
      <w:pPr>
        <w:spacing w:line="239" w:lineRule="auto"/>
        <w:jc w:val="both"/>
      </w:pPr>
    </w:p>
    <w:p w14:paraId="6DDA257E" w14:textId="77777777" w:rsidR="0067080E" w:rsidRPr="00932B7F" w:rsidRDefault="0067080E">
      <w:pPr>
        <w:spacing w:line="1" w:lineRule="exact"/>
      </w:pPr>
    </w:p>
    <w:p w14:paraId="64DD5539" w14:textId="77777777" w:rsidR="0067080E" w:rsidRPr="00363128" w:rsidRDefault="00725806" w:rsidP="00363128">
      <w:pPr>
        <w:rPr>
          <w:rFonts w:eastAsia="Tahoma"/>
          <w:b/>
          <w:bCs/>
          <w:i/>
        </w:rPr>
      </w:pPr>
      <w:r w:rsidRPr="00363128">
        <w:rPr>
          <w:rFonts w:eastAsia="Tahoma"/>
          <w:b/>
          <w:bCs/>
          <w:i/>
        </w:rPr>
        <w:t>Нематериальные активы не вносились в уставный капитал, а также не были получены безвозмездно.</w:t>
      </w:r>
    </w:p>
    <w:p w14:paraId="1A1B4EB1" w14:textId="77777777" w:rsidR="0067080E" w:rsidRPr="00932B7F" w:rsidRDefault="0067080E">
      <w:pPr>
        <w:spacing w:line="243" w:lineRule="exact"/>
        <w:rPr>
          <w:b/>
          <w:i/>
        </w:rPr>
      </w:pPr>
    </w:p>
    <w:p w14:paraId="24A68DC1" w14:textId="77777777" w:rsidR="00F65358" w:rsidRPr="00932B7F" w:rsidRDefault="00725806">
      <w:pPr>
        <w:spacing w:line="239" w:lineRule="auto"/>
        <w:jc w:val="both"/>
        <w:rPr>
          <w:rFonts w:eastAsia="Tahoma"/>
          <w:bCs/>
        </w:rPr>
      </w:pPr>
      <w:r w:rsidRPr="00932B7F">
        <w:rPr>
          <w:rFonts w:eastAsia="Tahoma"/>
          <w:bCs/>
        </w:rPr>
        <w:t xml:space="preserve">Стандарты (правила), в соответствии с которыми Общество представляет информацию о своих нематериальных активах: </w:t>
      </w:r>
    </w:p>
    <w:p w14:paraId="2670FC72" w14:textId="77777777" w:rsidR="00363128" w:rsidRDefault="00363128">
      <w:pPr>
        <w:spacing w:line="239" w:lineRule="auto"/>
        <w:jc w:val="both"/>
        <w:rPr>
          <w:rFonts w:eastAsia="Tahoma"/>
          <w:b/>
          <w:i/>
        </w:rPr>
      </w:pPr>
    </w:p>
    <w:p w14:paraId="2498FA75" w14:textId="606F0D60" w:rsidR="0067080E" w:rsidRDefault="00795792">
      <w:pPr>
        <w:spacing w:line="239" w:lineRule="auto"/>
        <w:jc w:val="both"/>
        <w:rPr>
          <w:rFonts w:eastAsia="Tahoma"/>
          <w:b/>
          <w:i/>
        </w:rPr>
      </w:pPr>
      <w:r w:rsidRPr="00932B7F">
        <w:rPr>
          <w:rFonts w:eastAsia="Tahoma"/>
          <w:b/>
          <w:i/>
        </w:rPr>
        <w:t>Б</w:t>
      </w:r>
      <w:r w:rsidR="00725806" w:rsidRPr="00932B7F">
        <w:rPr>
          <w:rFonts w:eastAsia="Tahoma"/>
          <w:b/>
          <w:i/>
        </w:rPr>
        <w:t>ухгалтерский отчет сформирован, исходя из действующих в Российской Федерации правил бухгалтерского учета и отчетности, установленных Федеральным законом «О бухгалтерском учете» и Положениями по бухгалтерскому учету, утвержденными Министерством финансов Российской Федерации.</w:t>
      </w:r>
    </w:p>
    <w:p w14:paraId="1F60FD95" w14:textId="77777777" w:rsidR="00FB254C" w:rsidRPr="00932B7F" w:rsidRDefault="00FB254C">
      <w:pPr>
        <w:spacing w:line="239" w:lineRule="auto"/>
        <w:jc w:val="both"/>
        <w:rPr>
          <w:b/>
          <w:i/>
        </w:rPr>
      </w:pPr>
    </w:p>
    <w:p w14:paraId="1BCD3013" w14:textId="77777777" w:rsidR="0067080E" w:rsidRPr="00932B7F" w:rsidRDefault="0067080E">
      <w:pPr>
        <w:spacing w:line="248" w:lineRule="exact"/>
      </w:pPr>
    </w:p>
    <w:p w14:paraId="4F5033DA" w14:textId="5FEA8C56" w:rsidR="00363128" w:rsidRDefault="00BB42DC" w:rsidP="00363128">
      <w:pPr>
        <w:spacing w:line="238" w:lineRule="auto"/>
        <w:ind w:firstLine="567"/>
        <w:jc w:val="center"/>
        <w:rPr>
          <w:rFonts w:eastAsia="Tahoma"/>
          <w:b/>
          <w:bCs/>
        </w:rPr>
      </w:pPr>
      <w:r w:rsidRPr="00BB42DC">
        <w:rPr>
          <w:rFonts w:eastAsia="Tahoma"/>
          <w:b/>
          <w:bCs/>
        </w:rPr>
        <w:lastRenderedPageBreak/>
        <w:t>1</w:t>
      </w:r>
      <w:r w:rsidR="001C6AFF">
        <w:rPr>
          <w:rFonts w:eastAsia="Tahoma"/>
          <w:b/>
          <w:bCs/>
        </w:rPr>
        <w:t>2</w:t>
      </w:r>
      <w:r w:rsidR="00725806" w:rsidRPr="00932B7F">
        <w:rPr>
          <w:rFonts w:eastAsia="Tahoma"/>
          <w:b/>
          <w:bCs/>
        </w:rPr>
        <w:t xml:space="preserve">. </w:t>
      </w:r>
      <w:r w:rsidR="00363128" w:rsidRPr="00932B7F">
        <w:rPr>
          <w:rFonts w:eastAsia="Tahoma"/>
          <w:b/>
          <w:bCs/>
        </w:rPr>
        <w:t>СВЕДЕНИЯ О ПОЛИТИКЕ И РАСХОДАХ ОБЩЕСТВА</w:t>
      </w:r>
    </w:p>
    <w:p w14:paraId="45450352" w14:textId="77777777" w:rsidR="00363128" w:rsidRDefault="00363128" w:rsidP="00363128">
      <w:pPr>
        <w:spacing w:line="238" w:lineRule="auto"/>
        <w:ind w:firstLine="567"/>
        <w:jc w:val="center"/>
        <w:rPr>
          <w:rFonts w:eastAsia="Tahoma"/>
          <w:b/>
          <w:bCs/>
        </w:rPr>
      </w:pPr>
      <w:r w:rsidRPr="00932B7F">
        <w:rPr>
          <w:rFonts w:eastAsia="Tahoma"/>
          <w:b/>
          <w:bCs/>
        </w:rPr>
        <w:t>В ОБЛАСТИ НАУЧНО</w:t>
      </w:r>
      <w:r w:rsidR="00725806" w:rsidRPr="00932B7F">
        <w:rPr>
          <w:rFonts w:eastAsia="Tahoma"/>
          <w:b/>
          <w:bCs/>
        </w:rPr>
        <w:t>-</w:t>
      </w:r>
      <w:r w:rsidRPr="00932B7F">
        <w:rPr>
          <w:rFonts w:eastAsia="Tahoma"/>
          <w:b/>
          <w:bCs/>
        </w:rPr>
        <w:t>ТЕХНИЧЕСКОГО РАЗВИТИЯ</w:t>
      </w:r>
      <w:r w:rsidR="00725806" w:rsidRPr="00932B7F">
        <w:rPr>
          <w:rFonts w:eastAsia="Tahoma"/>
          <w:b/>
          <w:bCs/>
        </w:rPr>
        <w:t xml:space="preserve">, </w:t>
      </w:r>
    </w:p>
    <w:p w14:paraId="29BA0D04" w14:textId="52E20E22" w:rsidR="0067080E" w:rsidRPr="00932B7F" w:rsidRDefault="00363128" w:rsidP="00363128">
      <w:pPr>
        <w:spacing w:line="238" w:lineRule="auto"/>
        <w:ind w:firstLine="567"/>
        <w:jc w:val="center"/>
      </w:pPr>
      <w:r w:rsidRPr="00932B7F">
        <w:rPr>
          <w:rFonts w:eastAsia="Tahoma"/>
          <w:b/>
          <w:bCs/>
        </w:rPr>
        <w:t>В ОТНОШЕНИИ ЛИЦЕНЗИЙ И ПАТЕНТОВ</w:t>
      </w:r>
      <w:r w:rsidR="00725806" w:rsidRPr="00932B7F">
        <w:rPr>
          <w:rFonts w:eastAsia="Tahoma"/>
          <w:b/>
          <w:bCs/>
        </w:rPr>
        <w:t xml:space="preserve">, </w:t>
      </w:r>
      <w:r w:rsidRPr="00932B7F">
        <w:rPr>
          <w:rFonts w:eastAsia="Tahoma"/>
          <w:b/>
          <w:bCs/>
        </w:rPr>
        <w:t>НОВЫХ РАЗРАБОТОК И ИССЛЕДОВАНИЙ</w:t>
      </w:r>
    </w:p>
    <w:p w14:paraId="61920A33" w14:textId="77777777" w:rsidR="0067080E" w:rsidRPr="00932B7F" w:rsidRDefault="0067080E">
      <w:pPr>
        <w:spacing w:line="244" w:lineRule="exact"/>
      </w:pPr>
    </w:p>
    <w:p w14:paraId="3A9E25C3" w14:textId="77777777" w:rsidR="0067080E" w:rsidRPr="00932B7F" w:rsidRDefault="00725806">
      <w:pPr>
        <w:spacing w:line="239" w:lineRule="auto"/>
        <w:jc w:val="both"/>
      </w:pPr>
      <w:r w:rsidRPr="00932B7F">
        <w:rPr>
          <w:rFonts w:eastAsia="Tahoma"/>
          <w:bCs/>
        </w:rPr>
        <w:t>Информация о политике Общества в области научно-технического развития за каждый завершенный финансовый год, включая раскрытие затрат на осуществление научно-технической деятельности за счет собственных средств Общества за каждый из отчетных периодов:</w:t>
      </w:r>
    </w:p>
    <w:p w14:paraId="601B7E82" w14:textId="77777777" w:rsidR="0067080E" w:rsidRPr="00932B7F" w:rsidRDefault="0067080E">
      <w:pPr>
        <w:spacing w:line="4" w:lineRule="exact"/>
      </w:pPr>
    </w:p>
    <w:p w14:paraId="19D124CF" w14:textId="77777777" w:rsidR="005A1465" w:rsidRPr="00932B7F" w:rsidRDefault="005A1465" w:rsidP="005A1465">
      <w:pPr>
        <w:jc w:val="both"/>
        <w:rPr>
          <w:rStyle w:val="Subst"/>
          <w:bCs/>
          <w:iCs/>
        </w:rPr>
      </w:pPr>
    </w:p>
    <w:p w14:paraId="077DDC0A" w14:textId="1EB35685" w:rsidR="007C65BD" w:rsidRPr="00363128" w:rsidRDefault="007C65BD" w:rsidP="007C65BD">
      <w:pPr>
        <w:jc w:val="both"/>
        <w:rPr>
          <w:b/>
          <w:i/>
        </w:rPr>
      </w:pPr>
      <w:r w:rsidRPr="00363128">
        <w:rPr>
          <w:b/>
          <w:bCs/>
          <w:i/>
          <w:iCs/>
          <w:color w:val="000000"/>
        </w:rPr>
        <w:t>Информация не приводится, поскольку за последний завершенный финансовый 20</w:t>
      </w:r>
      <w:r w:rsidR="004102B7" w:rsidRPr="00363128">
        <w:rPr>
          <w:b/>
          <w:bCs/>
          <w:i/>
          <w:iCs/>
          <w:color w:val="000000"/>
        </w:rPr>
        <w:t>2</w:t>
      </w:r>
      <w:r w:rsidR="00C0661A" w:rsidRPr="00363128">
        <w:rPr>
          <w:b/>
          <w:bCs/>
          <w:i/>
          <w:iCs/>
          <w:color w:val="000000"/>
        </w:rPr>
        <w:t>3</w:t>
      </w:r>
      <w:r w:rsidR="006A75FC" w:rsidRPr="00363128">
        <w:rPr>
          <w:b/>
          <w:bCs/>
          <w:i/>
          <w:iCs/>
          <w:color w:val="000000"/>
        </w:rPr>
        <w:t xml:space="preserve"> год</w:t>
      </w:r>
      <w:r w:rsidRPr="00363128">
        <w:rPr>
          <w:b/>
          <w:bCs/>
          <w:i/>
          <w:iCs/>
          <w:color w:val="000000"/>
        </w:rPr>
        <w:t xml:space="preserve"> Эмитент не осуществлял научно-техническую деятельность, политика Эмитента в области научно-технического </w:t>
      </w:r>
      <w:r w:rsidRPr="00363128">
        <w:rPr>
          <w:b/>
          <w:bCs/>
          <w:i/>
          <w:iCs/>
        </w:rPr>
        <w:t xml:space="preserve">развития отсутствует. </w:t>
      </w:r>
    </w:p>
    <w:p w14:paraId="026F2003" w14:textId="77777777" w:rsidR="0067080E" w:rsidRPr="00932B7F" w:rsidRDefault="0067080E">
      <w:pPr>
        <w:spacing w:line="244" w:lineRule="exact"/>
      </w:pPr>
    </w:p>
    <w:p w14:paraId="7C2BC54A" w14:textId="77777777" w:rsidR="0067080E" w:rsidRPr="00932B7F" w:rsidRDefault="00725806">
      <w:pPr>
        <w:spacing w:line="239" w:lineRule="auto"/>
        <w:jc w:val="both"/>
      </w:pPr>
      <w:r w:rsidRPr="00932B7F">
        <w:rPr>
          <w:rFonts w:eastAsia="Tahoma"/>
          <w:bCs/>
        </w:rPr>
        <w:t>Сведения о создании и получении Обществом правовой охраны основных объектов интеллектуальной собственности, об основных направлениях и результатах использования основных для Общества объектах интеллектуальной собственности:</w:t>
      </w:r>
    </w:p>
    <w:p w14:paraId="363C9C8D" w14:textId="77777777" w:rsidR="0067080E" w:rsidRPr="00932B7F" w:rsidRDefault="0067080E">
      <w:pPr>
        <w:spacing w:line="247" w:lineRule="exact"/>
      </w:pPr>
    </w:p>
    <w:p w14:paraId="4E4E9095" w14:textId="77777777" w:rsidR="0067080E" w:rsidRPr="00932B7F" w:rsidRDefault="00B22C67">
      <w:pPr>
        <w:spacing w:line="238" w:lineRule="auto"/>
        <w:jc w:val="both"/>
      </w:pPr>
      <w:r w:rsidRPr="00932B7F">
        <w:rPr>
          <w:rFonts w:eastAsia="Tahoma"/>
          <w:bCs/>
        </w:rPr>
        <w:t xml:space="preserve">- </w:t>
      </w:r>
      <w:r w:rsidR="00725806" w:rsidRPr="00932B7F">
        <w:rPr>
          <w:rFonts w:eastAsia="Tahoma"/>
          <w:bCs/>
        </w:rPr>
        <w:t>сведения о дате выдачи и сроках действия патентов на изобретение, на полезную модель и на промышленный образец:</w:t>
      </w:r>
    </w:p>
    <w:p w14:paraId="370D8948" w14:textId="77777777" w:rsidR="0067080E" w:rsidRPr="00932B7F" w:rsidRDefault="0067080E">
      <w:pPr>
        <w:spacing w:line="1" w:lineRule="exact"/>
      </w:pPr>
    </w:p>
    <w:p w14:paraId="1D58713D" w14:textId="77777777" w:rsidR="0067080E" w:rsidRPr="00932B7F" w:rsidRDefault="00725806" w:rsidP="00363128">
      <w:pPr>
        <w:rPr>
          <w:b/>
          <w:i/>
        </w:rPr>
      </w:pPr>
      <w:r w:rsidRPr="00932B7F">
        <w:rPr>
          <w:rFonts w:eastAsia="Tahoma"/>
          <w:b/>
          <w:i/>
        </w:rPr>
        <w:t>Общество не имеет патентов на изобретения, на полезную модель и на промышленный образец;</w:t>
      </w:r>
    </w:p>
    <w:p w14:paraId="64FD0215" w14:textId="77777777" w:rsidR="0067080E" w:rsidRPr="00932B7F" w:rsidRDefault="0067080E">
      <w:pPr>
        <w:spacing w:line="241" w:lineRule="exact"/>
      </w:pPr>
    </w:p>
    <w:p w14:paraId="5945C00F" w14:textId="610AE0B1" w:rsidR="0067080E" w:rsidRDefault="00B22C67">
      <w:pPr>
        <w:rPr>
          <w:rFonts w:eastAsia="Tahoma"/>
          <w:bCs/>
        </w:rPr>
      </w:pPr>
      <w:r w:rsidRPr="00932B7F">
        <w:rPr>
          <w:rFonts w:eastAsia="Tahoma"/>
          <w:bCs/>
        </w:rPr>
        <w:t xml:space="preserve">- </w:t>
      </w:r>
      <w:r w:rsidR="00725806" w:rsidRPr="00932B7F">
        <w:rPr>
          <w:rFonts w:eastAsia="Tahoma"/>
          <w:bCs/>
        </w:rPr>
        <w:t>сведения о государственной регистрации наименования места происхождения товара:</w:t>
      </w:r>
    </w:p>
    <w:p w14:paraId="795AD5DE" w14:textId="77777777" w:rsidR="006A75FC" w:rsidRPr="00932B7F" w:rsidRDefault="006A75FC"/>
    <w:p w14:paraId="63E5F6E2" w14:textId="77777777" w:rsidR="0067080E" w:rsidRPr="00932B7F" w:rsidRDefault="0067080E">
      <w:pPr>
        <w:spacing w:line="3" w:lineRule="exact"/>
      </w:pPr>
    </w:p>
    <w:p w14:paraId="083D2A7A" w14:textId="77777777" w:rsidR="0067080E" w:rsidRPr="00363128" w:rsidRDefault="00725806" w:rsidP="00363128">
      <w:pPr>
        <w:spacing w:line="238" w:lineRule="auto"/>
        <w:jc w:val="both"/>
        <w:rPr>
          <w:b/>
          <w:i/>
        </w:rPr>
      </w:pPr>
      <w:r w:rsidRPr="00363128">
        <w:rPr>
          <w:rFonts w:eastAsia="Tahoma"/>
          <w:b/>
          <w:i/>
        </w:rPr>
        <w:t>Общество не имеет свидетельств о государственной регистрации наименования места происхождения товара;</w:t>
      </w:r>
    </w:p>
    <w:p w14:paraId="2D932CCA" w14:textId="77777777" w:rsidR="0067080E" w:rsidRPr="00932B7F" w:rsidRDefault="0067080E">
      <w:pPr>
        <w:spacing w:line="241" w:lineRule="exact"/>
      </w:pPr>
    </w:p>
    <w:p w14:paraId="022A0A24" w14:textId="77777777" w:rsidR="0067080E" w:rsidRPr="00932B7F" w:rsidRDefault="00B22C67">
      <w:r w:rsidRPr="00932B7F">
        <w:rPr>
          <w:rFonts w:eastAsia="Tahoma"/>
          <w:bCs/>
        </w:rPr>
        <w:t xml:space="preserve">- </w:t>
      </w:r>
      <w:r w:rsidR="00725806" w:rsidRPr="00932B7F">
        <w:rPr>
          <w:rFonts w:eastAsia="Tahoma"/>
          <w:bCs/>
        </w:rPr>
        <w:t>сведения о государственной регистрации товарных знаков и знаков обслуживания:</w:t>
      </w:r>
    </w:p>
    <w:p w14:paraId="21D3C8DE" w14:textId="77777777" w:rsidR="0067080E" w:rsidRPr="00932B7F" w:rsidRDefault="0067080E">
      <w:pPr>
        <w:spacing w:line="1" w:lineRule="exact"/>
      </w:pPr>
    </w:p>
    <w:p w14:paraId="54CDB28F" w14:textId="77777777" w:rsidR="0067080E" w:rsidRPr="00363128" w:rsidRDefault="00725806" w:rsidP="00363128">
      <w:pPr>
        <w:rPr>
          <w:b/>
          <w:i/>
        </w:rPr>
      </w:pPr>
      <w:r w:rsidRPr="00363128">
        <w:rPr>
          <w:rFonts w:eastAsia="Tahoma"/>
          <w:b/>
          <w:i/>
        </w:rPr>
        <w:t>Общество не имеет зарегистрированных товарных знаков и знаков обслуживания.</w:t>
      </w:r>
    </w:p>
    <w:p w14:paraId="7247F47C" w14:textId="77777777" w:rsidR="0067080E" w:rsidRPr="00932B7F" w:rsidRDefault="0067080E">
      <w:pPr>
        <w:spacing w:line="243" w:lineRule="exact"/>
      </w:pPr>
    </w:p>
    <w:p w14:paraId="4D7B1F66" w14:textId="77777777" w:rsidR="0067080E" w:rsidRPr="00932B7F" w:rsidRDefault="00725806">
      <w:pPr>
        <w:spacing w:line="239" w:lineRule="auto"/>
        <w:jc w:val="both"/>
      </w:pPr>
      <w:r w:rsidRPr="00932B7F">
        <w:rPr>
          <w:rFonts w:eastAsia="Tahoma"/>
          <w:bCs/>
        </w:rPr>
        <w:t>Сведения об основных направлениях и результатах использования основных для Общества объектах интеллектуальной собственности:</w:t>
      </w:r>
    </w:p>
    <w:p w14:paraId="07706AB1" w14:textId="77777777" w:rsidR="0067080E" w:rsidRPr="00363128" w:rsidRDefault="00725806" w:rsidP="00363128">
      <w:pPr>
        <w:spacing w:line="239" w:lineRule="auto"/>
        <w:rPr>
          <w:b/>
          <w:i/>
        </w:rPr>
      </w:pPr>
      <w:r w:rsidRPr="00363128">
        <w:rPr>
          <w:rFonts w:eastAsia="Tahoma"/>
          <w:b/>
          <w:i/>
        </w:rPr>
        <w:t>Объекты интеллектуальной собственности отсутствуют, информация не указывается.</w:t>
      </w:r>
    </w:p>
    <w:p w14:paraId="7EB9CB95" w14:textId="77777777" w:rsidR="0067080E" w:rsidRPr="00932B7F" w:rsidRDefault="0067080E">
      <w:pPr>
        <w:spacing w:line="244" w:lineRule="exact"/>
        <w:rPr>
          <w:b/>
          <w:i/>
        </w:rPr>
      </w:pPr>
    </w:p>
    <w:p w14:paraId="38C417AE" w14:textId="77777777" w:rsidR="0067080E" w:rsidRPr="00932B7F" w:rsidRDefault="00725806">
      <w:pPr>
        <w:spacing w:line="239" w:lineRule="auto"/>
        <w:jc w:val="both"/>
      </w:pPr>
      <w:r w:rsidRPr="00932B7F">
        <w:rPr>
          <w:rFonts w:eastAsia="Tahoma"/>
          <w:bCs/>
        </w:rPr>
        <w:t>Факторы риска, связанные с возможностью истечения сроков действия основных для Общества патентов, лицензий на использование товарных знаков:</w:t>
      </w:r>
    </w:p>
    <w:p w14:paraId="55CD2E20" w14:textId="77777777" w:rsidR="005A1465" w:rsidRPr="00932B7F" w:rsidRDefault="005A1465">
      <w:pPr>
        <w:ind w:left="660"/>
        <w:rPr>
          <w:rFonts w:eastAsia="Tahoma"/>
        </w:rPr>
      </w:pPr>
      <w:bookmarkStart w:id="67" w:name="page11"/>
      <w:bookmarkEnd w:id="67"/>
    </w:p>
    <w:p w14:paraId="3B6F5924" w14:textId="77777777" w:rsidR="0067080E" w:rsidRPr="00363128" w:rsidRDefault="00725806" w:rsidP="00363128">
      <w:pPr>
        <w:jc w:val="both"/>
        <w:rPr>
          <w:rFonts w:eastAsia="Tahoma"/>
          <w:b/>
          <w:i/>
        </w:rPr>
      </w:pPr>
      <w:r w:rsidRPr="00363128">
        <w:rPr>
          <w:rFonts w:eastAsia="Tahoma"/>
          <w:b/>
          <w:i/>
        </w:rPr>
        <w:t>Факторы риска не указывается, в связи с отсутствием объектов интеллектуальной собственности.</w:t>
      </w:r>
    </w:p>
    <w:p w14:paraId="39BB99EA" w14:textId="49E54499" w:rsidR="005A1465" w:rsidRDefault="005A1465" w:rsidP="00363128">
      <w:pPr>
        <w:ind w:left="660"/>
        <w:jc w:val="center"/>
      </w:pPr>
    </w:p>
    <w:p w14:paraId="7B858755" w14:textId="77777777" w:rsidR="00FB254C" w:rsidRDefault="00FB254C" w:rsidP="00363128">
      <w:pPr>
        <w:ind w:left="660"/>
        <w:jc w:val="center"/>
      </w:pPr>
    </w:p>
    <w:p w14:paraId="2FC80314" w14:textId="77777777" w:rsidR="00FB254C" w:rsidRPr="00932B7F" w:rsidRDefault="00FB254C" w:rsidP="00363128">
      <w:pPr>
        <w:ind w:left="660"/>
        <w:jc w:val="center"/>
      </w:pPr>
    </w:p>
    <w:p w14:paraId="6D0C65B2" w14:textId="77777777" w:rsidR="0067080E" w:rsidRPr="00932B7F" w:rsidRDefault="0067080E" w:rsidP="00363128">
      <w:pPr>
        <w:spacing w:line="108" w:lineRule="exact"/>
        <w:jc w:val="center"/>
      </w:pPr>
    </w:p>
    <w:p w14:paraId="0FA646A4" w14:textId="5445F15B" w:rsidR="003344DC" w:rsidRPr="001C6AFF" w:rsidRDefault="00725806" w:rsidP="001C6AFF">
      <w:pPr>
        <w:pStyle w:val="ac"/>
        <w:numPr>
          <w:ilvl w:val="0"/>
          <w:numId w:val="22"/>
        </w:numPr>
        <w:tabs>
          <w:tab w:val="left" w:pos="426"/>
        </w:tabs>
        <w:jc w:val="center"/>
        <w:rPr>
          <w:rFonts w:eastAsia="Tahoma"/>
          <w:b/>
        </w:rPr>
      </w:pPr>
      <w:r w:rsidRPr="001C6AFF">
        <w:rPr>
          <w:rFonts w:eastAsia="Tahoma"/>
          <w:b/>
          <w:bCs/>
        </w:rPr>
        <w:t>ПЕРЕЧЕНЬ СОВЕРШЕННЫХ ОБЩЕСТВОМ В ОТЧЕТНОМ ГОДУ СДЕЛОК, ПРИЗНАВАЕМЫХ</w:t>
      </w:r>
      <w:r w:rsidR="003344DC" w:rsidRPr="001C6AFF">
        <w:rPr>
          <w:rFonts w:eastAsia="Tahoma"/>
          <w:b/>
        </w:rPr>
        <w:t xml:space="preserve"> </w:t>
      </w:r>
      <w:r w:rsidRPr="001C6AFF">
        <w:rPr>
          <w:rFonts w:eastAsia="Tahoma"/>
          <w:b/>
        </w:rPr>
        <w:t>КРУПНЫМИ СДЕЛКАМИ, А ТАКЖЕ ИНЫХ СДЕЛОК, НА СОВЕРШЕНИЕ КОТОРЫХ В СООТВЕТСТВИИ С УСТАВОМ ОБЩЕСТВА РАСПРОСТРАНЯЕТСЯ ПОРЯДОК ОДОБРЕНИЯ КРУП</w:t>
      </w:r>
      <w:r w:rsidR="003344DC" w:rsidRPr="001C6AFF">
        <w:rPr>
          <w:rFonts w:eastAsia="Tahoma"/>
          <w:b/>
        </w:rPr>
        <w:t xml:space="preserve"> НЫХ СДЕЛОК</w:t>
      </w:r>
    </w:p>
    <w:p w14:paraId="78F0C77C" w14:textId="77777777" w:rsidR="0067080E" w:rsidRPr="00932B7F" w:rsidRDefault="0067080E" w:rsidP="00363128">
      <w:pPr>
        <w:tabs>
          <w:tab w:val="left" w:pos="380"/>
        </w:tabs>
        <w:spacing w:line="239" w:lineRule="auto"/>
        <w:ind w:left="380"/>
        <w:jc w:val="center"/>
        <w:rPr>
          <w:rFonts w:eastAsia="Tahoma"/>
          <w:b/>
          <w:bCs/>
        </w:rPr>
      </w:pPr>
    </w:p>
    <w:p w14:paraId="4821CBF2" w14:textId="77777777" w:rsidR="0067080E" w:rsidRPr="00932B7F" w:rsidRDefault="0067080E">
      <w:pPr>
        <w:spacing w:line="1" w:lineRule="exact"/>
        <w:rPr>
          <w:rFonts w:eastAsia="Tahoma"/>
          <w:b/>
          <w:bCs/>
        </w:rPr>
      </w:pPr>
    </w:p>
    <w:p w14:paraId="5399CBF8" w14:textId="77777777" w:rsidR="0067080E" w:rsidRPr="00932B7F" w:rsidRDefault="0067080E" w:rsidP="00B94AF6">
      <w:pPr>
        <w:spacing w:line="110" w:lineRule="exact"/>
        <w:ind w:firstLine="567"/>
      </w:pPr>
    </w:p>
    <w:p w14:paraId="6C033981" w14:textId="7D104FDD" w:rsidR="007D4FDE" w:rsidRPr="00C3312A" w:rsidRDefault="00795792" w:rsidP="00C3312A">
      <w:pPr>
        <w:jc w:val="both"/>
        <w:rPr>
          <w:rFonts w:eastAsia="Tahoma"/>
          <w:b/>
          <w:i/>
        </w:rPr>
      </w:pPr>
      <w:r w:rsidRPr="00C3312A">
        <w:rPr>
          <w:rFonts w:eastAsia="Tahoma"/>
          <w:b/>
          <w:i/>
        </w:rPr>
        <w:t>В 20</w:t>
      </w:r>
      <w:r w:rsidR="00A959A8" w:rsidRPr="00C3312A">
        <w:rPr>
          <w:rFonts w:eastAsia="Tahoma"/>
          <w:b/>
          <w:i/>
        </w:rPr>
        <w:t>2</w:t>
      </w:r>
      <w:r w:rsidR="00861F02" w:rsidRPr="00C3312A">
        <w:rPr>
          <w:rFonts w:eastAsia="Tahoma"/>
          <w:b/>
          <w:i/>
        </w:rPr>
        <w:t>3</w:t>
      </w:r>
      <w:r w:rsidRPr="00C3312A">
        <w:rPr>
          <w:rFonts w:eastAsia="Tahoma"/>
          <w:b/>
          <w:i/>
        </w:rPr>
        <w:t xml:space="preserve"> году Эмитент </w:t>
      </w:r>
      <w:r w:rsidR="00363128" w:rsidRPr="00C3312A">
        <w:rPr>
          <w:rFonts w:eastAsia="Tahoma"/>
          <w:b/>
          <w:i/>
        </w:rPr>
        <w:t xml:space="preserve">пролонгировал договоры </w:t>
      </w:r>
      <w:r w:rsidR="00B73AE3" w:rsidRPr="00B73AE3">
        <w:rPr>
          <w:rFonts w:eastAsia="Tahoma"/>
          <w:b/>
          <w:i/>
        </w:rPr>
        <w:t xml:space="preserve">об уступке прав (требований) </w:t>
      </w:r>
      <w:r w:rsidR="00B73AE3">
        <w:rPr>
          <w:rFonts w:eastAsia="Tahoma"/>
          <w:b/>
          <w:i/>
        </w:rPr>
        <w:t>заключенные</w:t>
      </w:r>
      <w:r w:rsidR="00363128" w:rsidRPr="00C3312A">
        <w:rPr>
          <w:rFonts w:eastAsia="Tahoma"/>
          <w:b/>
          <w:i/>
        </w:rPr>
        <w:t xml:space="preserve"> в предыдущем отчетном году</w:t>
      </w:r>
      <w:r w:rsidR="00C3312A" w:rsidRPr="00C3312A">
        <w:rPr>
          <w:rFonts w:eastAsia="Tahoma"/>
          <w:b/>
          <w:i/>
        </w:rPr>
        <w:t xml:space="preserve"> с контрагентом ООО «Тетраэкономальянс»</w:t>
      </w:r>
      <w:r w:rsidR="00B73AE3">
        <w:rPr>
          <w:rFonts w:eastAsia="Tahoma"/>
          <w:b/>
          <w:i/>
        </w:rPr>
        <w:t>, оформлением дополнительных соглашений о внесении изменений в части срока внесения платы за уступки</w:t>
      </w:r>
      <w:r w:rsidRPr="00C3312A">
        <w:rPr>
          <w:rFonts w:eastAsia="Tahoma"/>
          <w:b/>
          <w:i/>
        </w:rPr>
        <w:t>.</w:t>
      </w:r>
    </w:p>
    <w:p w14:paraId="7811CB0B" w14:textId="272AE577" w:rsidR="0067080E" w:rsidRDefault="0067080E">
      <w:pPr>
        <w:spacing w:line="264" w:lineRule="exact"/>
      </w:pPr>
    </w:p>
    <w:p w14:paraId="33B1DFD9" w14:textId="4CA5BB58" w:rsidR="00FB254C" w:rsidRDefault="00FB254C">
      <w:pPr>
        <w:spacing w:line="264" w:lineRule="exact"/>
      </w:pPr>
    </w:p>
    <w:p w14:paraId="0D10F55D" w14:textId="77777777" w:rsidR="00FB254C" w:rsidRPr="00932B7F" w:rsidRDefault="00FB254C">
      <w:pPr>
        <w:spacing w:line="264" w:lineRule="exact"/>
      </w:pPr>
    </w:p>
    <w:p w14:paraId="5DA74E7E" w14:textId="34D82616" w:rsidR="0067080E" w:rsidRPr="001C6AFF" w:rsidRDefault="00725806" w:rsidP="001C6AFF">
      <w:pPr>
        <w:pStyle w:val="ac"/>
        <w:numPr>
          <w:ilvl w:val="0"/>
          <w:numId w:val="22"/>
        </w:numPr>
        <w:ind w:right="-50"/>
        <w:jc w:val="center"/>
        <w:rPr>
          <w:b/>
        </w:rPr>
      </w:pPr>
      <w:r w:rsidRPr="001C6AFF">
        <w:rPr>
          <w:rFonts w:eastAsia="Tahoma"/>
          <w:b/>
          <w:bCs/>
        </w:rPr>
        <w:t>ПЕРЕЧЕНЬ СОВЕРШЕННЫХ ОБЩЕСТВОМ В ОТЧЕТНОМ ГОДУ СДЕЛОК, ПРИЗНАВАЕМЫХ СДЕЛКАМИ, В СОВЕРШЕНИИ КОТОРЫХ ИМЕЕТСЯ</w:t>
      </w:r>
      <w:r w:rsidR="00DA583A" w:rsidRPr="001C6AFF">
        <w:rPr>
          <w:rFonts w:eastAsia="Tahoma"/>
          <w:b/>
          <w:bCs/>
        </w:rPr>
        <w:t xml:space="preserve"> </w:t>
      </w:r>
      <w:r w:rsidRPr="001C6AFF">
        <w:rPr>
          <w:rFonts w:eastAsia="Tahoma"/>
          <w:b/>
          <w:bCs/>
        </w:rPr>
        <w:t>ЗАИНТЕРЕСОВАННОСТЬ</w:t>
      </w:r>
    </w:p>
    <w:p w14:paraId="77203734" w14:textId="77777777" w:rsidR="008044DD" w:rsidRDefault="008044DD" w:rsidP="00C3312A">
      <w:pPr>
        <w:rPr>
          <w:rFonts w:eastAsia="Tahoma"/>
          <w:b/>
          <w:i/>
        </w:rPr>
      </w:pPr>
    </w:p>
    <w:p w14:paraId="5738204F" w14:textId="5EA1B4D2" w:rsidR="0067080E" w:rsidRDefault="00725806" w:rsidP="00C3312A">
      <w:pPr>
        <w:rPr>
          <w:rFonts w:eastAsia="Tahoma"/>
          <w:b/>
          <w:i/>
        </w:rPr>
      </w:pPr>
      <w:r w:rsidRPr="00363128">
        <w:rPr>
          <w:rFonts w:eastAsia="Tahoma"/>
          <w:b/>
          <w:i/>
        </w:rPr>
        <w:t>Указанные сделки в течение данного периода не совершались.</w:t>
      </w:r>
    </w:p>
    <w:p w14:paraId="7CA2B36D" w14:textId="08CA6652" w:rsidR="00FB254C" w:rsidRDefault="00FB254C" w:rsidP="00C3312A">
      <w:pPr>
        <w:rPr>
          <w:rFonts w:eastAsia="Tahoma"/>
          <w:b/>
          <w:i/>
        </w:rPr>
      </w:pPr>
    </w:p>
    <w:p w14:paraId="57C405DE" w14:textId="16220AB0" w:rsidR="00FB254C" w:rsidRDefault="00FB254C" w:rsidP="00C3312A">
      <w:pPr>
        <w:rPr>
          <w:rFonts w:eastAsia="Tahoma"/>
          <w:b/>
          <w:i/>
        </w:rPr>
      </w:pPr>
    </w:p>
    <w:p w14:paraId="3300D123" w14:textId="77777777" w:rsidR="00FB254C" w:rsidRPr="00363128" w:rsidRDefault="00FB254C" w:rsidP="00C3312A">
      <w:pPr>
        <w:rPr>
          <w:rFonts w:eastAsia="Tahoma"/>
          <w:b/>
          <w:i/>
        </w:rPr>
      </w:pPr>
      <w:bookmarkStart w:id="68" w:name="_GoBack"/>
      <w:bookmarkEnd w:id="68"/>
    </w:p>
    <w:p w14:paraId="60EBB5C9" w14:textId="4E35BCF4" w:rsidR="00A959A8" w:rsidRPr="00C3312A" w:rsidRDefault="00C3312A" w:rsidP="001C6AFF">
      <w:pPr>
        <w:pStyle w:val="1"/>
        <w:numPr>
          <w:ilvl w:val="0"/>
          <w:numId w:val="22"/>
        </w:numPr>
        <w:jc w:val="center"/>
        <w:rPr>
          <w:kern w:val="28"/>
          <w:sz w:val="22"/>
          <w:szCs w:val="22"/>
          <w:lang w:val="ru-RU"/>
        </w:rPr>
      </w:pPr>
      <w:r w:rsidRPr="00C3312A">
        <w:rPr>
          <w:kern w:val="28"/>
          <w:sz w:val="22"/>
          <w:szCs w:val="22"/>
          <w:lang w:val="ru-RU"/>
        </w:rPr>
        <w:t>СВЕДЕНИЯ О ЛИЦАХ</w:t>
      </w:r>
      <w:r w:rsidR="00A959A8" w:rsidRPr="00C3312A">
        <w:rPr>
          <w:kern w:val="28"/>
          <w:sz w:val="22"/>
          <w:szCs w:val="22"/>
          <w:lang w:val="ru-RU"/>
        </w:rPr>
        <w:t xml:space="preserve">, </w:t>
      </w:r>
      <w:r w:rsidRPr="00C3312A">
        <w:rPr>
          <w:kern w:val="28"/>
          <w:sz w:val="22"/>
          <w:szCs w:val="22"/>
          <w:lang w:val="ru-RU"/>
        </w:rPr>
        <w:t>ВХОДЯЩИХ В СОСТАВ ОРГАНОВ УПРАВЛЕНИЯ ЭМИТЕНТА</w:t>
      </w:r>
      <w:r w:rsidR="00A959A8" w:rsidRPr="00C3312A">
        <w:rPr>
          <w:kern w:val="28"/>
          <w:sz w:val="22"/>
          <w:szCs w:val="22"/>
          <w:lang w:val="ru-RU"/>
        </w:rPr>
        <w:t xml:space="preserve">, </w:t>
      </w:r>
      <w:r w:rsidRPr="00C3312A">
        <w:rPr>
          <w:kern w:val="28"/>
          <w:sz w:val="22"/>
          <w:szCs w:val="22"/>
          <w:lang w:val="ru-RU"/>
        </w:rPr>
        <w:t>СВЕДЕНИЯ ОБ ОРГАНИЗАЦИИ В ЭМИТЕНТЕ УПРАВЛЕНИЯ РИСКАМИ</w:t>
      </w:r>
      <w:r w:rsidR="00A959A8" w:rsidRPr="00C3312A">
        <w:rPr>
          <w:kern w:val="28"/>
          <w:sz w:val="22"/>
          <w:szCs w:val="22"/>
          <w:lang w:val="ru-RU"/>
        </w:rPr>
        <w:t xml:space="preserve">, </w:t>
      </w:r>
      <w:r w:rsidRPr="00C3312A">
        <w:rPr>
          <w:kern w:val="28"/>
          <w:sz w:val="22"/>
          <w:szCs w:val="22"/>
          <w:lang w:val="ru-RU"/>
        </w:rPr>
        <w:t>КОНТРОЛЯ ЗА ФИНАНСОВО</w:t>
      </w:r>
      <w:r w:rsidR="00A959A8" w:rsidRPr="00C3312A">
        <w:rPr>
          <w:kern w:val="28"/>
          <w:sz w:val="22"/>
          <w:szCs w:val="22"/>
          <w:lang w:val="ru-RU"/>
        </w:rPr>
        <w:t>-</w:t>
      </w:r>
      <w:r w:rsidRPr="00C3312A">
        <w:rPr>
          <w:kern w:val="28"/>
          <w:sz w:val="22"/>
          <w:szCs w:val="22"/>
          <w:lang w:val="ru-RU"/>
        </w:rPr>
        <w:t>ХОЗЯЙСТВЕННОЙ ДЕЯТЕЛЬНОСТЬЮ И ВНУТРЕННЕГО КОНТРОЛЯ</w:t>
      </w:r>
      <w:r w:rsidR="00A959A8" w:rsidRPr="00C3312A">
        <w:rPr>
          <w:kern w:val="28"/>
          <w:sz w:val="22"/>
          <w:szCs w:val="22"/>
          <w:lang w:val="ru-RU"/>
        </w:rPr>
        <w:t xml:space="preserve">, </w:t>
      </w:r>
      <w:r w:rsidRPr="00C3312A">
        <w:rPr>
          <w:kern w:val="28"/>
          <w:sz w:val="22"/>
          <w:szCs w:val="22"/>
          <w:lang w:val="ru-RU"/>
        </w:rPr>
        <w:t>ВНУТРЕННЕГО АУДИТА</w:t>
      </w:r>
      <w:r w:rsidR="00A959A8" w:rsidRPr="00C3312A">
        <w:rPr>
          <w:kern w:val="28"/>
          <w:sz w:val="22"/>
          <w:szCs w:val="22"/>
          <w:lang w:val="ru-RU"/>
        </w:rPr>
        <w:t xml:space="preserve">, </w:t>
      </w:r>
      <w:r w:rsidRPr="00C3312A">
        <w:rPr>
          <w:kern w:val="28"/>
          <w:sz w:val="22"/>
          <w:szCs w:val="22"/>
          <w:lang w:val="ru-RU"/>
        </w:rPr>
        <w:t>А ТАКЖЕ СВЕДЕНИЯ О РАБОТНИКАХ ЭМИТЕНТА</w:t>
      </w:r>
    </w:p>
    <w:p w14:paraId="085F4424" w14:textId="0ED89B2D" w:rsidR="00A959A8" w:rsidRPr="00B73AE3" w:rsidRDefault="00A959A8" w:rsidP="00B73AE3">
      <w:pPr>
        <w:pStyle w:val="af2"/>
        <w:jc w:val="left"/>
        <w:rPr>
          <w:rFonts w:ascii="Times New Roman" w:hAnsi="Times New Roman"/>
          <w:sz w:val="22"/>
          <w:szCs w:val="22"/>
        </w:rPr>
      </w:pPr>
      <w:bookmarkStart w:id="69" w:name="_Toc96338397"/>
      <w:bookmarkStart w:id="70" w:name="_Toc96338493"/>
      <w:bookmarkStart w:id="71" w:name="_Toc96338589"/>
      <w:bookmarkStart w:id="72" w:name="_Toc96338863"/>
      <w:bookmarkStart w:id="73" w:name="_Toc96347924"/>
      <w:r w:rsidRPr="00B73AE3">
        <w:rPr>
          <w:rFonts w:ascii="Times New Roman" w:hAnsi="Times New Roman"/>
          <w:sz w:val="22"/>
          <w:szCs w:val="22"/>
        </w:rPr>
        <w:t>Информация о лицах, входящих в состав органов управления эмитента</w:t>
      </w:r>
      <w:bookmarkEnd w:id="69"/>
      <w:bookmarkEnd w:id="70"/>
      <w:bookmarkEnd w:id="71"/>
      <w:bookmarkEnd w:id="72"/>
      <w:bookmarkEnd w:id="73"/>
      <w:r w:rsidR="00B73AE3">
        <w:rPr>
          <w:rFonts w:ascii="Times New Roman" w:hAnsi="Times New Roman"/>
          <w:sz w:val="22"/>
          <w:szCs w:val="22"/>
        </w:rPr>
        <w:t>:</w:t>
      </w:r>
    </w:p>
    <w:p w14:paraId="49C5DD30" w14:textId="77777777" w:rsidR="00A959A8" w:rsidRPr="00932B7F" w:rsidRDefault="00A959A8" w:rsidP="00A959A8">
      <w:pPr>
        <w:adjustRightInd w:val="0"/>
        <w:ind w:firstLine="540"/>
        <w:jc w:val="both"/>
        <w:outlineLvl w:val="0"/>
      </w:pPr>
    </w:p>
    <w:p w14:paraId="46C3588C" w14:textId="77777777" w:rsidR="00A959A8" w:rsidRPr="00932B7F" w:rsidRDefault="00A959A8" w:rsidP="00A959A8">
      <w:pPr>
        <w:jc w:val="both"/>
      </w:pPr>
      <w:bookmarkStart w:id="74" w:name="_Toc96338398"/>
      <w:bookmarkStart w:id="75" w:name="_Toc96338494"/>
      <w:bookmarkStart w:id="76" w:name="_Toc96338590"/>
      <w:bookmarkStart w:id="77" w:name="_Toc96338864"/>
      <w:r w:rsidRPr="00932B7F">
        <w:lastRenderedPageBreak/>
        <w:t>Информация о единоличном исполнительном органе эмитента</w:t>
      </w:r>
      <w:bookmarkEnd w:id="74"/>
      <w:bookmarkEnd w:id="75"/>
      <w:bookmarkEnd w:id="76"/>
      <w:bookmarkEnd w:id="77"/>
      <w:r w:rsidRPr="00932B7F">
        <w:t>:</w:t>
      </w:r>
    </w:p>
    <w:p w14:paraId="6DA9BA6F" w14:textId="77777777" w:rsidR="00FF7927" w:rsidRPr="00932B7F" w:rsidRDefault="00FF7927" w:rsidP="00C3312A">
      <w:r w:rsidRPr="00932B7F">
        <w:t>ФИО:</w:t>
      </w:r>
      <w:r w:rsidRPr="00932B7F">
        <w:rPr>
          <w:rStyle w:val="Subst"/>
          <w:bCs/>
          <w:iCs/>
        </w:rPr>
        <w:t xml:space="preserve"> Овчарова Марина Михайловна</w:t>
      </w:r>
    </w:p>
    <w:p w14:paraId="23621835" w14:textId="77777777" w:rsidR="00FF7927" w:rsidRPr="00932B7F" w:rsidRDefault="00FF7927" w:rsidP="00C3312A">
      <w:r w:rsidRPr="00932B7F">
        <w:t>Год рождения:</w:t>
      </w:r>
      <w:r w:rsidRPr="00932B7F">
        <w:rPr>
          <w:rStyle w:val="Subst"/>
          <w:bCs/>
          <w:iCs/>
        </w:rPr>
        <w:t xml:space="preserve"> 1981</w:t>
      </w:r>
    </w:p>
    <w:p w14:paraId="1E7AFB13" w14:textId="1025BCA2" w:rsidR="00FF7927" w:rsidRPr="00932B7F" w:rsidRDefault="00FF7927" w:rsidP="00C3312A">
      <w:r w:rsidRPr="00932B7F">
        <w:t>Образование:</w:t>
      </w:r>
      <w:r w:rsidR="00C3312A">
        <w:t xml:space="preserve"> </w:t>
      </w:r>
      <w:r w:rsidRPr="00932B7F">
        <w:rPr>
          <w:rStyle w:val="Subst"/>
          <w:bCs/>
          <w:iCs/>
        </w:rPr>
        <w:t>высшее</w:t>
      </w:r>
    </w:p>
    <w:p w14:paraId="427E1146" w14:textId="77777777" w:rsidR="00C3312A" w:rsidRDefault="00C3312A" w:rsidP="00C3312A">
      <w:bookmarkStart w:id="78" w:name="_Hlk133335957"/>
    </w:p>
    <w:p w14:paraId="6EFEB77B" w14:textId="796980AB" w:rsidR="00FF7927" w:rsidRPr="00932B7F" w:rsidRDefault="00FF7927" w:rsidP="00C3312A">
      <w:pPr>
        <w:jc w:val="both"/>
      </w:pPr>
      <w:r w:rsidRPr="00932B7F">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C3312A">
        <w:t>:</w:t>
      </w:r>
    </w:p>
    <w:bookmarkEnd w:id="78"/>
    <w:p w14:paraId="3CD1D0A3" w14:textId="77777777" w:rsidR="00FF7927" w:rsidRPr="00932B7F" w:rsidRDefault="00FF7927" w:rsidP="00FF7927">
      <w:pPr>
        <w:pStyle w:val="ThinDelim"/>
      </w:pPr>
    </w:p>
    <w:tbl>
      <w:tblPr>
        <w:tblW w:w="5000" w:type="pct"/>
        <w:tblCellMar>
          <w:left w:w="72" w:type="dxa"/>
          <w:right w:w="72" w:type="dxa"/>
        </w:tblCellMar>
        <w:tblLook w:val="0000" w:firstRow="0" w:lastRow="0" w:firstColumn="0" w:lastColumn="0" w:noHBand="0" w:noVBand="0"/>
      </w:tblPr>
      <w:tblGrid>
        <w:gridCol w:w="1497"/>
        <w:gridCol w:w="1416"/>
        <w:gridCol w:w="4471"/>
        <w:gridCol w:w="3010"/>
      </w:tblGrid>
      <w:tr w:rsidR="00FF7927" w:rsidRPr="00932B7F" w14:paraId="7F8BB313" w14:textId="77777777" w:rsidTr="00C3312A">
        <w:tc>
          <w:tcPr>
            <w:tcW w:w="1401" w:type="pct"/>
            <w:gridSpan w:val="2"/>
            <w:tcBorders>
              <w:top w:val="double" w:sz="6" w:space="0" w:color="auto"/>
              <w:left w:val="double" w:sz="6" w:space="0" w:color="auto"/>
              <w:bottom w:val="single" w:sz="6" w:space="0" w:color="auto"/>
              <w:right w:val="single" w:sz="6" w:space="0" w:color="auto"/>
            </w:tcBorders>
          </w:tcPr>
          <w:p w14:paraId="583DC6DE" w14:textId="77777777" w:rsidR="00FF7927" w:rsidRPr="00932B7F" w:rsidRDefault="00FF7927" w:rsidP="002D4ACB">
            <w:pPr>
              <w:jc w:val="center"/>
            </w:pPr>
            <w:r w:rsidRPr="00932B7F">
              <w:t>Период</w:t>
            </w:r>
          </w:p>
        </w:tc>
        <w:tc>
          <w:tcPr>
            <w:tcW w:w="2151" w:type="pct"/>
            <w:tcBorders>
              <w:top w:val="double" w:sz="6" w:space="0" w:color="auto"/>
              <w:left w:val="single" w:sz="6" w:space="0" w:color="auto"/>
              <w:bottom w:val="single" w:sz="6" w:space="0" w:color="auto"/>
              <w:right w:val="single" w:sz="6" w:space="0" w:color="auto"/>
            </w:tcBorders>
          </w:tcPr>
          <w:p w14:paraId="550321B1" w14:textId="77777777" w:rsidR="00FF7927" w:rsidRPr="00932B7F" w:rsidRDefault="00FF7927" w:rsidP="002D4ACB">
            <w:pPr>
              <w:jc w:val="center"/>
            </w:pPr>
            <w:r w:rsidRPr="00932B7F">
              <w:t>Наименование организации</w:t>
            </w:r>
          </w:p>
        </w:tc>
        <w:tc>
          <w:tcPr>
            <w:tcW w:w="1448" w:type="pct"/>
            <w:tcBorders>
              <w:top w:val="double" w:sz="6" w:space="0" w:color="auto"/>
              <w:left w:val="single" w:sz="6" w:space="0" w:color="auto"/>
              <w:bottom w:val="single" w:sz="6" w:space="0" w:color="auto"/>
              <w:right w:val="double" w:sz="6" w:space="0" w:color="auto"/>
            </w:tcBorders>
          </w:tcPr>
          <w:p w14:paraId="7430647B" w14:textId="77777777" w:rsidR="00FF7927" w:rsidRPr="00932B7F" w:rsidRDefault="00FF7927" w:rsidP="002D4ACB">
            <w:pPr>
              <w:jc w:val="center"/>
            </w:pPr>
            <w:r w:rsidRPr="00932B7F">
              <w:t>Должность</w:t>
            </w:r>
          </w:p>
        </w:tc>
      </w:tr>
      <w:tr w:rsidR="00FF7927" w:rsidRPr="00932B7F" w14:paraId="052B401B" w14:textId="77777777" w:rsidTr="00C3312A">
        <w:tc>
          <w:tcPr>
            <w:tcW w:w="720" w:type="pct"/>
            <w:tcBorders>
              <w:top w:val="single" w:sz="6" w:space="0" w:color="auto"/>
              <w:left w:val="double" w:sz="6" w:space="0" w:color="auto"/>
              <w:bottom w:val="single" w:sz="6" w:space="0" w:color="auto"/>
              <w:right w:val="single" w:sz="6" w:space="0" w:color="auto"/>
            </w:tcBorders>
          </w:tcPr>
          <w:p w14:paraId="2D61CB6D" w14:textId="77777777" w:rsidR="00FF7927" w:rsidRPr="00932B7F" w:rsidRDefault="00FF7927" w:rsidP="002D4ACB">
            <w:pPr>
              <w:jc w:val="center"/>
            </w:pPr>
            <w:r w:rsidRPr="00932B7F">
              <w:t>с</w:t>
            </w:r>
          </w:p>
        </w:tc>
        <w:tc>
          <w:tcPr>
            <w:tcW w:w="681" w:type="pct"/>
            <w:tcBorders>
              <w:top w:val="single" w:sz="6" w:space="0" w:color="auto"/>
              <w:left w:val="single" w:sz="6" w:space="0" w:color="auto"/>
              <w:bottom w:val="single" w:sz="6" w:space="0" w:color="auto"/>
              <w:right w:val="single" w:sz="6" w:space="0" w:color="auto"/>
            </w:tcBorders>
          </w:tcPr>
          <w:p w14:paraId="1BC5E140" w14:textId="77777777" w:rsidR="00FF7927" w:rsidRPr="00932B7F" w:rsidRDefault="00FF7927" w:rsidP="002D4ACB">
            <w:pPr>
              <w:jc w:val="center"/>
            </w:pPr>
            <w:r w:rsidRPr="00932B7F">
              <w:t>по</w:t>
            </w:r>
          </w:p>
        </w:tc>
        <w:tc>
          <w:tcPr>
            <w:tcW w:w="2151" w:type="pct"/>
            <w:tcBorders>
              <w:top w:val="single" w:sz="6" w:space="0" w:color="auto"/>
              <w:left w:val="single" w:sz="6" w:space="0" w:color="auto"/>
              <w:bottom w:val="single" w:sz="6" w:space="0" w:color="auto"/>
              <w:right w:val="single" w:sz="6" w:space="0" w:color="auto"/>
            </w:tcBorders>
          </w:tcPr>
          <w:p w14:paraId="115F2720" w14:textId="77777777" w:rsidR="00FF7927" w:rsidRPr="00932B7F" w:rsidRDefault="00FF7927" w:rsidP="002D4ACB"/>
        </w:tc>
        <w:tc>
          <w:tcPr>
            <w:tcW w:w="1448" w:type="pct"/>
            <w:tcBorders>
              <w:top w:val="single" w:sz="6" w:space="0" w:color="auto"/>
              <w:left w:val="single" w:sz="6" w:space="0" w:color="auto"/>
              <w:bottom w:val="single" w:sz="6" w:space="0" w:color="auto"/>
              <w:right w:val="double" w:sz="6" w:space="0" w:color="auto"/>
            </w:tcBorders>
          </w:tcPr>
          <w:p w14:paraId="0A6CA60F" w14:textId="77777777" w:rsidR="00FF7927" w:rsidRPr="00932B7F" w:rsidRDefault="00FF7927" w:rsidP="002D4ACB"/>
        </w:tc>
      </w:tr>
      <w:tr w:rsidR="00FF7927" w:rsidRPr="00932B7F" w14:paraId="52850FFA" w14:textId="77777777" w:rsidTr="00C3312A">
        <w:tc>
          <w:tcPr>
            <w:tcW w:w="720" w:type="pct"/>
            <w:tcBorders>
              <w:top w:val="single" w:sz="6" w:space="0" w:color="auto"/>
              <w:left w:val="double" w:sz="6" w:space="0" w:color="auto"/>
              <w:bottom w:val="single" w:sz="6" w:space="0" w:color="auto"/>
              <w:right w:val="single" w:sz="6" w:space="0" w:color="auto"/>
            </w:tcBorders>
          </w:tcPr>
          <w:p w14:paraId="1F09ADB2" w14:textId="77777777" w:rsidR="00FF7927" w:rsidRPr="00C3312A" w:rsidRDefault="00FF7927" w:rsidP="002D4ACB">
            <w:pPr>
              <w:rPr>
                <w:b/>
                <w:i/>
              </w:rPr>
            </w:pPr>
            <w:r w:rsidRPr="00C3312A">
              <w:rPr>
                <w:b/>
                <w:i/>
              </w:rPr>
              <w:t>22.07.2015</w:t>
            </w:r>
          </w:p>
        </w:tc>
        <w:tc>
          <w:tcPr>
            <w:tcW w:w="681" w:type="pct"/>
            <w:tcBorders>
              <w:top w:val="single" w:sz="6" w:space="0" w:color="auto"/>
              <w:left w:val="single" w:sz="6" w:space="0" w:color="auto"/>
              <w:bottom w:val="single" w:sz="6" w:space="0" w:color="auto"/>
              <w:right w:val="single" w:sz="6" w:space="0" w:color="auto"/>
            </w:tcBorders>
          </w:tcPr>
          <w:p w14:paraId="515935B1" w14:textId="77777777" w:rsidR="00FF7927" w:rsidRPr="00C3312A" w:rsidRDefault="00FF7927" w:rsidP="002D4ACB">
            <w:pPr>
              <w:rPr>
                <w:b/>
                <w:i/>
              </w:rPr>
            </w:pPr>
            <w:r w:rsidRPr="00C3312A">
              <w:rPr>
                <w:b/>
                <w:i/>
              </w:rPr>
              <w:t>13.07.2022</w:t>
            </w:r>
          </w:p>
        </w:tc>
        <w:tc>
          <w:tcPr>
            <w:tcW w:w="2151" w:type="pct"/>
            <w:tcBorders>
              <w:top w:val="single" w:sz="6" w:space="0" w:color="auto"/>
              <w:left w:val="single" w:sz="6" w:space="0" w:color="auto"/>
              <w:bottom w:val="single" w:sz="6" w:space="0" w:color="auto"/>
              <w:right w:val="single" w:sz="6" w:space="0" w:color="auto"/>
            </w:tcBorders>
          </w:tcPr>
          <w:p w14:paraId="666DB1B2" w14:textId="77777777" w:rsidR="00FF7927" w:rsidRPr="00C3312A" w:rsidRDefault="00FF7927" w:rsidP="002D4ACB">
            <w:pPr>
              <w:rPr>
                <w:b/>
                <w:i/>
              </w:rPr>
            </w:pPr>
            <w:r w:rsidRPr="00C3312A">
              <w:rPr>
                <w:b/>
                <w:i/>
              </w:rPr>
              <w:t>Филиал компании с ограниченной ответственностью "ВИТАЛСКОП МЕНЕДЖМЕНТ ЛТД"</w:t>
            </w:r>
          </w:p>
        </w:tc>
        <w:tc>
          <w:tcPr>
            <w:tcW w:w="1448" w:type="pct"/>
            <w:tcBorders>
              <w:top w:val="single" w:sz="6" w:space="0" w:color="auto"/>
              <w:left w:val="single" w:sz="6" w:space="0" w:color="auto"/>
              <w:bottom w:val="single" w:sz="6" w:space="0" w:color="auto"/>
              <w:right w:val="double" w:sz="6" w:space="0" w:color="auto"/>
            </w:tcBorders>
          </w:tcPr>
          <w:p w14:paraId="1946F72C" w14:textId="77777777" w:rsidR="00FF7927" w:rsidRPr="00C3312A" w:rsidRDefault="00FF7927" w:rsidP="002D4ACB">
            <w:pPr>
              <w:rPr>
                <w:b/>
                <w:i/>
              </w:rPr>
            </w:pPr>
            <w:r w:rsidRPr="00C3312A">
              <w:rPr>
                <w:b/>
                <w:i/>
              </w:rPr>
              <w:t>Советник в управлении бухгалтерского учета и отчетности</w:t>
            </w:r>
          </w:p>
        </w:tc>
      </w:tr>
      <w:tr w:rsidR="00FF7927" w:rsidRPr="00932B7F" w14:paraId="3830C95E" w14:textId="77777777" w:rsidTr="00C3312A">
        <w:tc>
          <w:tcPr>
            <w:tcW w:w="720" w:type="pct"/>
            <w:tcBorders>
              <w:top w:val="single" w:sz="6" w:space="0" w:color="auto"/>
              <w:left w:val="double" w:sz="6" w:space="0" w:color="auto"/>
              <w:bottom w:val="single" w:sz="6" w:space="0" w:color="auto"/>
              <w:right w:val="single" w:sz="6" w:space="0" w:color="auto"/>
            </w:tcBorders>
          </w:tcPr>
          <w:p w14:paraId="55C2BE1D" w14:textId="77777777" w:rsidR="00FF7927" w:rsidRPr="00C3312A" w:rsidRDefault="00FF7927" w:rsidP="002D4ACB">
            <w:pPr>
              <w:rPr>
                <w:b/>
                <w:i/>
              </w:rPr>
            </w:pPr>
            <w:r w:rsidRPr="00C3312A">
              <w:rPr>
                <w:b/>
                <w:i/>
              </w:rPr>
              <w:t>14.07.2022</w:t>
            </w:r>
          </w:p>
        </w:tc>
        <w:tc>
          <w:tcPr>
            <w:tcW w:w="681" w:type="pct"/>
            <w:tcBorders>
              <w:top w:val="single" w:sz="6" w:space="0" w:color="auto"/>
              <w:left w:val="single" w:sz="6" w:space="0" w:color="auto"/>
              <w:bottom w:val="single" w:sz="6" w:space="0" w:color="auto"/>
              <w:right w:val="single" w:sz="6" w:space="0" w:color="auto"/>
            </w:tcBorders>
          </w:tcPr>
          <w:p w14:paraId="2B0445A3" w14:textId="77777777" w:rsidR="00FF7927" w:rsidRPr="00C3312A" w:rsidRDefault="00FF7927" w:rsidP="002D4ACB">
            <w:pPr>
              <w:rPr>
                <w:b/>
                <w:i/>
              </w:rPr>
            </w:pPr>
            <w:r w:rsidRPr="00C3312A">
              <w:rPr>
                <w:b/>
                <w:i/>
              </w:rPr>
              <w:t>по наст. время</w:t>
            </w:r>
          </w:p>
        </w:tc>
        <w:tc>
          <w:tcPr>
            <w:tcW w:w="2151" w:type="pct"/>
            <w:tcBorders>
              <w:top w:val="single" w:sz="6" w:space="0" w:color="auto"/>
              <w:left w:val="single" w:sz="6" w:space="0" w:color="auto"/>
              <w:bottom w:val="single" w:sz="6" w:space="0" w:color="auto"/>
              <w:right w:val="single" w:sz="6" w:space="0" w:color="auto"/>
            </w:tcBorders>
          </w:tcPr>
          <w:p w14:paraId="5DF055A8" w14:textId="46607AAD" w:rsidR="00FF7927" w:rsidRPr="00C3312A" w:rsidRDefault="00D344E1" w:rsidP="002D4ACB">
            <w:pPr>
              <w:rPr>
                <w:b/>
                <w:i/>
              </w:rPr>
            </w:pPr>
            <w:r w:rsidRPr="00C3312A">
              <w:rPr>
                <w:b/>
                <w:i/>
              </w:rPr>
              <w:t xml:space="preserve">ООО «СмартФинТех» (прежнее наименование </w:t>
            </w:r>
            <w:r w:rsidR="00FF7927" w:rsidRPr="00C3312A">
              <w:rPr>
                <w:b/>
                <w:i/>
              </w:rPr>
              <w:t>ООО "ИСТ-Капитал"</w:t>
            </w:r>
            <w:r w:rsidRPr="00C3312A">
              <w:rPr>
                <w:b/>
                <w:i/>
              </w:rPr>
              <w:t>)</w:t>
            </w:r>
          </w:p>
        </w:tc>
        <w:tc>
          <w:tcPr>
            <w:tcW w:w="1448" w:type="pct"/>
            <w:tcBorders>
              <w:top w:val="single" w:sz="6" w:space="0" w:color="auto"/>
              <w:left w:val="single" w:sz="6" w:space="0" w:color="auto"/>
              <w:bottom w:val="single" w:sz="6" w:space="0" w:color="auto"/>
              <w:right w:val="double" w:sz="6" w:space="0" w:color="auto"/>
            </w:tcBorders>
          </w:tcPr>
          <w:p w14:paraId="6812E6E5" w14:textId="77777777" w:rsidR="00FF7927" w:rsidRPr="00C3312A" w:rsidRDefault="00FF7927" w:rsidP="002D4ACB">
            <w:pPr>
              <w:rPr>
                <w:b/>
                <w:i/>
              </w:rPr>
            </w:pPr>
            <w:r w:rsidRPr="00C3312A">
              <w:rPr>
                <w:b/>
                <w:i/>
              </w:rPr>
              <w:t>Бухгалтер в Департаменте бухгалтерского учета и аудита</w:t>
            </w:r>
          </w:p>
        </w:tc>
      </w:tr>
      <w:tr w:rsidR="00FF7927" w:rsidRPr="00932B7F" w14:paraId="1CDE1B04" w14:textId="77777777" w:rsidTr="00C3312A">
        <w:tc>
          <w:tcPr>
            <w:tcW w:w="720" w:type="pct"/>
            <w:tcBorders>
              <w:top w:val="single" w:sz="6" w:space="0" w:color="auto"/>
              <w:left w:val="double" w:sz="6" w:space="0" w:color="auto"/>
              <w:bottom w:val="double" w:sz="6" w:space="0" w:color="auto"/>
              <w:right w:val="single" w:sz="6" w:space="0" w:color="auto"/>
            </w:tcBorders>
          </w:tcPr>
          <w:p w14:paraId="42A9DD63" w14:textId="77777777" w:rsidR="00FF7927" w:rsidRPr="00C3312A" w:rsidRDefault="00FF7927" w:rsidP="002D4ACB">
            <w:pPr>
              <w:rPr>
                <w:b/>
                <w:i/>
              </w:rPr>
            </w:pPr>
            <w:r w:rsidRPr="00C3312A">
              <w:rPr>
                <w:b/>
                <w:i/>
              </w:rPr>
              <w:t>07.10.2022</w:t>
            </w:r>
          </w:p>
        </w:tc>
        <w:tc>
          <w:tcPr>
            <w:tcW w:w="681" w:type="pct"/>
            <w:tcBorders>
              <w:top w:val="single" w:sz="6" w:space="0" w:color="auto"/>
              <w:left w:val="single" w:sz="6" w:space="0" w:color="auto"/>
              <w:bottom w:val="double" w:sz="6" w:space="0" w:color="auto"/>
              <w:right w:val="single" w:sz="6" w:space="0" w:color="auto"/>
            </w:tcBorders>
          </w:tcPr>
          <w:p w14:paraId="099EE853" w14:textId="77777777" w:rsidR="00FF7927" w:rsidRPr="00C3312A" w:rsidRDefault="00FF7927" w:rsidP="002D4ACB">
            <w:pPr>
              <w:rPr>
                <w:b/>
                <w:i/>
              </w:rPr>
            </w:pPr>
            <w:r w:rsidRPr="00C3312A">
              <w:rPr>
                <w:b/>
                <w:i/>
              </w:rPr>
              <w:t>по наст. время</w:t>
            </w:r>
          </w:p>
        </w:tc>
        <w:tc>
          <w:tcPr>
            <w:tcW w:w="2151" w:type="pct"/>
            <w:tcBorders>
              <w:top w:val="single" w:sz="6" w:space="0" w:color="auto"/>
              <w:left w:val="single" w:sz="6" w:space="0" w:color="auto"/>
              <w:bottom w:val="double" w:sz="6" w:space="0" w:color="auto"/>
              <w:right w:val="single" w:sz="6" w:space="0" w:color="auto"/>
            </w:tcBorders>
          </w:tcPr>
          <w:p w14:paraId="304364F6" w14:textId="77777777" w:rsidR="00FF7927" w:rsidRPr="00C3312A" w:rsidRDefault="00FF7927" w:rsidP="002D4ACB">
            <w:pPr>
              <w:rPr>
                <w:b/>
                <w:i/>
              </w:rPr>
            </w:pPr>
            <w:r w:rsidRPr="00C3312A">
              <w:rPr>
                <w:b/>
                <w:i/>
              </w:rPr>
              <w:t>ООО "ФИНКОНСАЛТ" (прежнее наименование ООО "ОЗЕРКИ")</w:t>
            </w:r>
          </w:p>
        </w:tc>
        <w:tc>
          <w:tcPr>
            <w:tcW w:w="1448" w:type="pct"/>
            <w:tcBorders>
              <w:top w:val="single" w:sz="6" w:space="0" w:color="auto"/>
              <w:left w:val="single" w:sz="6" w:space="0" w:color="auto"/>
              <w:bottom w:val="double" w:sz="6" w:space="0" w:color="auto"/>
              <w:right w:val="double" w:sz="6" w:space="0" w:color="auto"/>
            </w:tcBorders>
          </w:tcPr>
          <w:p w14:paraId="2484FCAC" w14:textId="77777777" w:rsidR="00FF7927" w:rsidRPr="00C3312A" w:rsidRDefault="00FF7927" w:rsidP="002D4ACB">
            <w:pPr>
              <w:rPr>
                <w:b/>
                <w:i/>
              </w:rPr>
            </w:pPr>
            <w:r w:rsidRPr="00C3312A">
              <w:rPr>
                <w:b/>
                <w:i/>
              </w:rPr>
              <w:t>Генеральный директор</w:t>
            </w:r>
          </w:p>
        </w:tc>
      </w:tr>
    </w:tbl>
    <w:p w14:paraId="0FBF3BB4" w14:textId="77777777" w:rsidR="00FF7927" w:rsidRPr="00932B7F" w:rsidRDefault="00FF7927" w:rsidP="00FF7927">
      <w:pPr>
        <w:adjustRightInd w:val="0"/>
        <w:ind w:firstLine="540"/>
        <w:jc w:val="both"/>
        <w:outlineLvl w:val="0"/>
      </w:pPr>
    </w:p>
    <w:p w14:paraId="3662144D" w14:textId="77777777" w:rsidR="00FF7927" w:rsidRPr="00C3312A" w:rsidRDefault="00FF7927" w:rsidP="00C3312A">
      <w:pPr>
        <w:rPr>
          <w:b/>
          <w:i/>
        </w:rPr>
      </w:pPr>
      <w:r w:rsidRPr="00C3312A">
        <w:rPr>
          <w:b/>
          <w:i/>
        </w:rPr>
        <w:t>Генеральный директор доли участия в уставном капитале эмитента/обыкновенных акций не имеет.</w:t>
      </w:r>
    </w:p>
    <w:p w14:paraId="6C00FD15" w14:textId="77777777" w:rsidR="00887AD5" w:rsidRDefault="00887AD5" w:rsidP="00887AD5">
      <w:pPr>
        <w:pStyle w:val="af2"/>
        <w:ind w:firstLine="284"/>
        <w:jc w:val="left"/>
        <w:rPr>
          <w:rFonts w:ascii="Times New Roman" w:eastAsiaTheme="minorEastAsia" w:hAnsi="Times New Roman"/>
          <w:sz w:val="22"/>
          <w:szCs w:val="22"/>
        </w:rPr>
      </w:pPr>
      <w:bookmarkStart w:id="79" w:name="_Hlk95916886"/>
      <w:bookmarkStart w:id="80" w:name="_Toc96338399"/>
      <w:bookmarkStart w:id="81" w:name="_Toc96338495"/>
      <w:bookmarkStart w:id="82" w:name="_Toc96338591"/>
      <w:bookmarkStart w:id="83" w:name="_Toc96338865"/>
      <w:bookmarkStart w:id="84" w:name="_Toc96347925"/>
    </w:p>
    <w:p w14:paraId="0EA8AA34" w14:textId="6B9B7D72" w:rsidR="00A959A8" w:rsidRPr="00C3312A" w:rsidRDefault="00A959A8" w:rsidP="00C3312A">
      <w:pPr>
        <w:pStyle w:val="af2"/>
        <w:jc w:val="both"/>
        <w:rPr>
          <w:rFonts w:ascii="Times New Roman" w:hAnsi="Times New Roman"/>
          <w:sz w:val="22"/>
          <w:szCs w:val="22"/>
        </w:rPr>
      </w:pPr>
      <w:r w:rsidRPr="00C3312A">
        <w:rPr>
          <w:rFonts w:ascii="Times New Roman" w:hAnsi="Times New Roman"/>
          <w:sz w:val="22"/>
          <w:szCs w:val="22"/>
        </w:rPr>
        <w:t>Сведения о политике</w:t>
      </w:r>
      <w:bookmarkEnd w:id="79"/>
      <w:r w:rsidRPr="00C3312A">
        <w:rPr>
          <w:rFonts w:ascii="Times New Roman" w:hAnsi="Times New Roman"/>
          <w:sz w:val="22"/>
          <w:szCs w:val="22"/>
        </w:rPr>
        <w:t xml:space="preserve">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80"/>
      <w:bookmarkEnd w:id="81"/>
      <w:bookmarkEnd w:id="82"/>
      <w:bookmarkEnd w:id="83"/>
      <w:bookmarkEnd w:id="84"/>
      <w:r w:rsidR="00C3312A" w:rsidRPr="00C3312A">
        <w:rPr>
          <w:rFonts w:ascii="Times New Roman" w:hAnsi="Times New Roman"/>
          <w:sz w:val="22"/>
          <w:szCs w:val="22"/>
        </w:rPr>
        <w:t>:</w:t>
      </w:r>
    </w:p>
    <w:p w14:paraId="779643CF" w14:textId="77777777" w:rsidR="00A959A8" w:rsidRPr="00932B7F" w:rsidRDefault="00A959A8" w:rsidP="00887AD5">
      <w:pPr>
        <w:adjustRightInd w:val="0"/>
        <w:ind w:hanging="142"/>
        <w:jc w:val="both"/>
        <w:outlineLvl w:val="0"/>
      </w:pPr>
    </w:p>
    <w:p w14:paraId="5AB461DF" w14:textId="77777777" w:rsidR="00A959A8" w:rsidRPr="00C3312A" w:rsidRDefault="00A959A8" w:rsidP="00C3312A">
      <w:pPr>
        <w:pStyle w:val="af2"/>
        <w:ind w:hanging="142"/>
        <w:jc w:val="both"/>
        <w:rPr>
          <w:rFonts w:ascii="Times New Roman" w:hAnsi="Times New Roman"/>
          <w:b/>
          <w:i/>
          <w:sz w:val="22"/>
          <w:szCs w:val="22"/>
        </w:rPr>
      </w:pPr>
      <w:r w:rsidRPr="00597B59">
        <w:rPr>
          <w:rFonts w:ascii="Times New Roman" w:hAnsi="Times New Roman"/>
        </w:rPr>
        <w:tab/>
      </w:r>
      <w:bookmarkStart w:id="85" w:name="_Toc96338400"/>
      <w:bookmarkStart w:id="86" w:name="_Toc96338496"/>
      <w:bookmarkStart w:id="87" w:name="_Toc96338592"/>
      <w:bookmarkStart w:id="88" w:name="_Toc96338866"/>
      <w:r w:rsidRPr="00C3312A">
        <w:rPr>
          <w:rFonts w:ascii="Times New Roman" w:hAnsi="Times New Roman"/>
          <w:b/>
          <w:i/>
          <w:sz w:val="22"/>
          <w:szCs w:val="22"/>
        </w:rPr>
        <w:t>Система вознаграждения членов исполнительных органов и ключевых руководящих лиц Общества включает:</w:t>
      </w:r>
      <w:bookmarkEnd w:id="85"/>
      <w:bookmarkEnd w:id="86"/>
      <w:bookmarkEnd w:id="87"/>
      <w:bookmarkEnd w:id="88"/>
    </w:p>
    <w:p w14:paraId="551B83A6" w14:textId="77777777" w:rsidR="00A959A8" w:rsidRPr="00C3312A" w:rsidRDefault="00A959A8" w:rsidP="00C3312A">
      <w:pPr>
        <w:pStyle w:val="af2"/>
        <w:ind w:hanging="142"/>
        <w:jc w:val="both"/>
        <w:rPr>
          <w:rFonts w:ascii="Times New Roman" w:hAnsi="Times New Roman"/>
          <w:b/>
          <w:i/>
          <w:sz w:val="22"/>
          <w:szCs w:val="22"/>
        </w:rPr>
      </w:pPr>
      <w:r w:rsidRPr="00C3312A">
        <w:rPr>
          <w:rFonts w:ascii="Times New Roman" w:hAnsi="Times New Roman"/>
          <w:b/>
          <w:i/>
          <w:sz w:val="22"/>
          <w:szCs w:val="22"/>
        </w:rPr>
        <w:tab/>
      </w:r>
      <w:bookmarkStart w:id="89" w:name="_Toc96338401"/>
      <w:bookmarkStart w:id="90" w:name="_Toc96338497"/>
      <w:bookmarkStart w:id="91" w:name="_Toc96338593"/>
      <w:bookmarkStart w:id="92" w:name="_Toc96338867"/>
      <w:r w:rsidRPr="00C3312A">
        <w:rPr>
          <w:rFonts w:ascii="Times New Roman" w:hAnsi="Times New Roman"/>
          <w:b/>
          <w:i/>
          <w:sz w:val="22"/>
          <w:szCs w:val="22"/>
        </w:rPr>
        <w:t>а) Фиксированную часть вознаграждения (должностной оклад), которая является базовым элементом вознаграждения. Размер должностного оклада устанавливается трудовым договором.</w:t>
      </w:r>
      <w:bookmarkEnd w:id="89"/>
      <w:bookmarkEnd w:id="90"/>
      <w:bookmarkEnd w:id="91"/>
      <w:bookmarkEnd w:id="92"/>
    </w:p>
    <w:p w14:paraId="1B9656C4" w14:textId="77777777" w:rsidR="00A959A8" w:rsidRPr="00C3312A" w:rsidRDefault="00A959A8" w:rsidP="00C3312A">
      <w:pPr>
        <w:pStyle w:val="af2"/>
        <w:ind w:hanging="142"/>
        <w:jc w:val="both"/>
        <w:rPr>
          <w:rFonts w:ascii="Times New Roman" w:hAnsi="Times New Roman"/>
          <w:b/>
          <w:i/>
          <w:sz w:val="22"/>
          <w:szCs w:val="22"/>
        </w:rPr>
      </w:pPr>
      <w:r w:rsidRPr="00C3312A">
        <w:rPr>
          <w:rFonts w:ascii="Times New Roman" w:hAnsi="Times New Roman"/>
          <w:b/>
          <w:i/>
          <w:sz w:val="22"/>
          <w:szCs w:val="22"/>
        </w:rPr>
        <w:tab/>
      </w:r>
      <w:bookmarkStart w:id="93" w:name="_Toc96338402"/>
      <w:bookmarkStart w:id="94" w:name="_Toc96338498"/>
      <w:bookmarkStart w:id="95" w:name="_Toc96338594"/>
      <w:bookmarkStart w:id="96" w:name="_Toc96338868"/>
      <w:r w:rsidRPr="00C3312A">
        <w:rPr>
          <w:rFonts w:ascii="Times New Roman" w:hAnsi="Times New Roman"/>
          <w:b/>
          <w:i/>
          <w:sz w:val="22"/>
          <w:szCs w:val="22"/>
        </w:rPr>
        <w:t>б) Переменную часть вознаграждения (премиальные и иные стимулирующие выплаты), которые устанавливаются и выплачиваются в соответствии с трудовым договором на основании действующих в Обществе локальных нормативных актов.</w:t>
      </w:r>
      <w:bookmarkEnd w:id="93"/>
      <w:bookmarkEnd w:id="94"/>
      <w:bookmarkEnd w:id="95"/>
      <w:bookmarkEnd w:id="96"/>
      <w:r w:rsidRPr="00C3312A">
        <w:rPr>
          <w:rFonts w:ascii="Times New Roman" w:hAnsi="Times New Roman"/>
          <w:b/>
          <w:i/>
          <w:sz w:val="22"/>
          <w:szCs w:val="22"/>
        </w:rPr>
        <w:t xml:space="preserve"> </w:t>
      </w:r>
    </w:p>
    <w:p w14:paraId="4D437C94" w14:textId="47286EF5" w:rsidR="00597B59" w:rsidRDefault="00597B59" w:rsidP="00597B59">
      <w:pPr>
        <w:pStyle w:val="af2"/>
        <w:jc w:val="left"/>
        <w:rPr>
          <w:rFonts w:ascii="Times New Roman" w:hAnsi="Times New Roman"/>
        </w:rPr>
      </w:pPr>
      <w:bookmarkStart w:id="97" w:name="_Toc96338403"/>
      <w:bookmarkStart w:id="98" w:name="_Toc96338499"/>
      <w:bookmarkStart w:id="99" w:name="_Toc96338595"/>
      <w:bookmarkStart w:id="100" w:name="_Toc96338869"/>
    </w:p>
    <w:p w14:paraId="718B6069" w14:textId="131950F5" w:rsidR="00A959A8" w:rsidRPr="00C3312A" w:rsidRDefault="00A959A8" w:rsidP="00597B59">
      <w:pPr>
        <w:pStyle w:val="af2"/>
        <w:jc w:val="left"/>
        <w:rPr>
          <w:rFonts w:ascii="Times New Roman" w:hAnsi="Times New Roman"/>
          <w:b/>
          <w:i/>
          <w:sz w:val="22"/>
          <w:szCs w:val="22"/>
        </w:rPr>
      </w:pPr>
      <w:r w:rsidRPr="00C3312A">
        <w:rPr>
          <w:rFonts w:ascii="Times New Roman" w:hAnsi="Times New Roman"/>
          <w:b/>
          <w:i/>
          <w:sz w:val="22"/>
          <w:szCs w:val="22"/>
        </w:rPr>
        <w:t>Общество осуществляет компенсацию (возмещение) расходов членов исполнительных органов и иных ключевых руководящих должностных лиц Общества в размере и порядке, предусмотренном действующим законодательством и локальными нормативными актами Общества.</w:t>
      </w:r>
      <w:bookmarkEnd w:id="97"/>
      <w:bookmarkEnd w:id="98"/>
      <w:bookmarkEnd w:id="99"/>
      <w:bookmarkEnd w:id="100"/>
      <w:r w:rsidRPr="00C3312A">
        <w:rPr>
          <w:rFonts w:ascii="Times New Roman" w:hAnsi="Times New Roman"/>
          <w:b/>
          <w:i/>
          <w:sz w:val="22"/>
          <w:szCs w:val="22"/>
        </w:rPr>
        <w:t xml:space="preserve">  </w:t>
      </w:r>
    </w:p>
    <w:p w14:paraId="701F5787" w14:textId="77777777" w:rsidR="00A959A8" w:rsidRPr="00E8292A" w:rsidRDefault="00A959A8" w:rsidP="00A959A8">
      <w:pPr>
        <w:adjustRightInd w:val="0"/>
        <w:ind w:firstLine="540"/>
        <w:jc w:val="both"/>
        <w:outlineLvl w:val="0"/>
        <w:rPr>
          <w:rFonts w:eastAsia="Times New Roman"/>
          <w:sz w:val="24"/>
          <w:szCs w:val="24"/>
        </w:rPr>
      </w:pPr>
    </w:p>
    <w:p w14:paraId="7D6DD38B" w14:textId="0B97877C" w:rsidR="00A959A8" w:rsidRPr="00B73AE3" w:rsidRDefault="00A959A8" w:rsidP="00B73AE3">
      <w:pPr>
        <w:pStyle w:val="af2"/>
        <w:jc w:val="both"/>
        <w:rPr>
          <w:rFonts w:ascii="Times New Roman" w:hAnsi="Times New Roman"/>
          <w:sz w:val="22"/>
          <w:szCs w:val="22"/>
        </w:rPr>
      </w:pPr>
      <w:bookmarkStart w:id="101" w:name="_Toc96338408"/>
      <w:bookmarkStart w:id="102" w:name="_Toc96338504"/>
      <w:bookmarkStart w:id="103" w:name="_Toc96338600"/>
      <w:bookmarkStart w:id="104" w:name="_Toc96338874"/>
      <w:bookmarkStart w:id="105" w:name="_Toc96347927"/>
      <w:r w:rsidRPr="00B73AE3">
        <w:rPr>
          <w:rFonts w:ascii="Times New Roman" w:hAnsi="Times New Roman"/>
          <w:sz w:val="22"/>
          <w:szCs w:val="22"/>
        </w:rPr>
        <w:t>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101"/>
      <w:bookmarkEnd w:id="102"/>
      <w:bookmarkEnd w:id="103"/>
      <w:bookmarkEnd w:id="104"/>
      <w:bookmarkEnd w:id="105"/>
      <w:r w:rsidR="00B73AE3">
        <w:rPr>
          <w:rFonts w:ascii="Times New Roman" w:hAnsi="Times New Roman"/>
          <w:sz w:val="22"/>
          <w:szCs w:val="22"/>
        </w:rPr>
        <w:t>:</w:t>
      </w:r>
    </w:p>
    <w:p w14:paraId="49FD826E" w14:textId="77777777" w:rsidR="00B73AE3" w:rsidRDefault="00B73AE3" w:rsidP="00C3312A">
      <w:pPr>
        <w:jc w:val="both"/>
        <w:rPr>
          <w:rFonts w:eastAsia="Times New Roman"/>
          <w:b/>
          <w:i/>
        </w:rPr>
      </w:pPr>
      <w:bookmarkStart w:id="106" w:name="_Toc96338409"/>
      <w:bookmarkStart w:id="107" w:name="_Toc96338505"/>
      <w:bookmarkStart w:id="108" w:name="_Toc96338601"/>
      <w:bookmarkStart w:id="109" w:name="_Toc96338875"/>
    </w:p>
    <w:p w14:paraId="7A5B4338" w14:textId="4F35474F" w:rsidR="00A959A8" w:rsidRPr="00C3312A" w:rsidRDefault="00A959A8" w:rsidP="00C3312A">
      <w:pPr>
        <w:jc w:val="both"/>
        <w:rPr>
          <w:rFonts w:eastAsia="Times New Roman"/>
          <w:b/>
          <w:i/>
        </w:rPr>
      </w:pPr>
      <w:r w:rsidRPr="00C3312A">
        <w:rPr>
          <w:rFonts w:eastAsia="Times New Roman"/>
          <w:b/>
          <w:i/>
        </w:rPr>
        <w:t>Контроль за финансово-хозяйственной деятельностью является ответственностью генерального директора Эмитента.</w:t>
      </w:r>
      <w:bookmarkStart w:id="110" w:name="_Toc96338410"/>
      <w:bookmarkStart w:id="111" w:name="_Toc96338506"/>
      <w:bookmarkStart w:id="112" w:name="_Toc96338602"/>
      <w:bookmarkStart w:id="113" w:name="_Toc96338876"/>
      <w:bookmarkEnd w:id="106"/>
      <w:bookmarkEnd w:id="107"/>
      <w:bookmarkEnd w:id="108"/>
      <w:bookmarkEnd w:id="109"/>
      <w:r w:rsidRPr="00C3312A">
        <w:rPr>
          <w:rFonts w:eastAsia="Times New Roman"/>
          <w:b/>
          <w:i/>
        </w:rPr>
        <w:t xml:space="preserve"> Службы внутреннего контроля и аудита Эмитентом не предусмотрены.</w:t>
      </w:r>
      <w:bookmarkEnd w:id="110"/>
      <w:bookmarkEnd w:id="111"/>
      <w:bookmarkEnd w:id="112"/>
      <w:bookmarkEnd w:id="113"/>
    </w:p>
    <w:p w14:paraId="11537C2B" w14:textId="77777777" w:rsidR="00B73AE3" w:rsidRDefault="00B73AE3" w:rsidP="00B73AE3">
      <w:pPr>
        <w:pStyle w:val="af2"/>
        <w:jc w:val="left"/>
        <w:rPr>
          <w:rFonts w:ascii="Times New Roman" w:eastAsiaTheme="minorEastAsia" w:hAnsi="Times New Roman"/>
          <w:sz w:val="22"/>
          <w:szCs w:val="22"/>
        </w:rPr>
      </w:pPr>
      <w:bookmarkStart w:id="114" w:name="_Toc96338411"/>
      <w:bookmarkStart w:id="115" w:name="_Toc96338507"/>
      <w:bookmarkStart w:id="116" w:name="_Toc96338603"/>
      <w:bookmarkStart w:id="117" w:name="_Toc96338877"/>
      <w:bookmarkStart w:id="118" w:name="_Toc96347928"/>
    </w:p>
    <w:p w14:paraId="0A8AE1E4" w14:textId="4ACF47F3" w:rsidR="00A959A8" w:rsidRPr="00B73AE3" w:rsidRDefault="00A959A8" w:rsidP="00B73AE3">
      <w:pPr>
        <w:pStyle w:val="af2"/>
        <w:jc w:val="both"/>
        <w:rPr>
          <w:rFonts w:ascii="Times New Roman" w:hAnsi="Times New Roman"/>
          <w:sz w:val="22"/>
          <w:szCs w:val="22"/>
        </w:rPr>
      </w:pPr>
      <w:r w:rsidRPr="00B73AE3">
        <w:rPr>
          <w:rFonts w:ascii="Times New Roman" w:hAnsi="Times New Roman"/>
          <w:sz w:val="22"/>
          <w:szCs w:val="22"/>
        </w:rPr>
        <w:t>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14"/>
      <w:bookmarkEnd w:id="115"/>
      <w:bookmarkEnd w:id="116"/>
      <w:bookmarkEnd w:id="117"/>
      <w:bookmarkEnd w:id="118"/>
      <w:r w:rsidR="00B73AE3">
        <w:rPr>
          <w:rFonts w:ascii="Times New Roman" w:hAnsi="Times New Roman"/>
          <w:sz w:val="22"/>
          <w:szCs w:val="22"/>
        </w:rPr>
        <w:t>:</w:t>
      </w:r>
    </w:p>
    <w:p w14:paraId="0A4CB729" w14:textId="77777777" w:rsidR="00B73AE3" w:rsidRDefault="00B73AE3" w:rsidP="00C3312A">
      <w:pPr>
        <w:rPr>
          <w:rFonts w:eastAsia="Times New Roman"/>
          <w:b/>
          <w:i/>
        </w:rPr>
      </w:pPr>
    </w:p>
    <w:p w14:paraId="5B9A14DE" w14:textId="0D081650" w:rsidR="00A959A8" w:rsidRPr="00C3312A" w:rsidRDefault="00F17D0D" w:rsidP="00C3312A">
      <w:pPr>
        <w:rPr>
          <w:rFonts w:eastAsia="Times New Roman"/>
          <w:b/>
          <w:i/>
        </w:rPr>
      </w:pPr>
      <w:r w:rsidRPr="00C3312A">
        <w:rPr>
          <w:rFonts w:eastAsia="Times New Roman"/>
          <w:b/>
          <w:i/>
        </w:rPr>
        <w:t>Указанные обязательства Эмитента отсутствуют.</w:t>
      </w:r>
    </w:p>
    <w:p w14:paraId="66D69C38" w14:textId="77777777" w:rsidR="0067080E" w:rsidRPr="006072F5" w:rsidRDefault="0067080E" w:rsidP="00A959A8">
      <w:pPr>
        <w:spacing w:before="120" w:after="120" w:line="318" w:lineRule="exact"/>
      </w:pPr>
    </w:p>
    <w:p w14:paraId="38D1EEDE" w14:textId="77777777" w:rsidR="00A959A8" w:rsidRDefault="00A959A8" w:rsidP="00A959A8">
      <w:pPr>
        <w:spacing w:before="120" w:after="120" w:line="110" w:lineRule="exact"/>
        <w:jc w:val="center"/>
        <w:rPr>
          <w:rFonts w:eastAsia="Tahoma"/>
          <w:b/>
          <w:bCs/>
        </w:rPr>
      </w:pPr>
    </w:p>
    <w:sectPr w:rsidR="00A959A8" w:rsidSect="004900BB">
      <w:headerReference w:type="default" r:id="rId9"/>
      <w:pgSz w:w="11900" w:h="16838"/>
      <w:pgMar w:top="741" w:right="560" w:bottom="709" w:left="900" w:header="0" w:footer="0" w:gutter="0"/>
      <w:cols w:space="720" w:equalWidth="0">
        <w:col w:w="104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1CF3" w14:textId="77777777" w:rsidR="00354F33" w:rsidRDefault="00354F33" w:rsidP="00DA583A">
      <w:r>
        <w:separator/>
      </w:r>
    </w:p>
  </w:endnote>
  <w:endnote w:type="continuationSeparator" w:id="0">
    <w:p w14:paraId="111093C5" w14:textId="77777777" w:rsidR="00354F33" w:rsidRDefault="00354F33" w:rsidP="00DA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F9149" w14:textId="77777777" w:rsidR="00354F33" w:rsidRDefault="00354F33" w:rsidP="00DA583A">
      <w:r>
        <w:separator/>
      </w:r>
    </w:p>
  </w:footnote>
  <w:footnote w:type="continuationSeparator" w:id="0">
    <w:p w14:paraId="25CFF84B" w14:textId="77777777" w:rsidR="00354F33" w:rsidRDefault="00354F33" w:rsidP="00DA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0C58" w14:textId="77777777" w:rsidR="00354F33" w:rsidRDefault="00354F33" w:rsidP="006072F5">
    <w:pPr>
      <w:pStyle w:val="ad"/>
      <w:tabs>
        <w:tab w:val="center" w:pos="5220"/>
        <w:tab w:val="left" w:pos="7008"/>
      </w:tabs>
    </w:pPr>
    <w:r>
      <w:tab/>
    </w:r>
    <w:r>
      <w:tab/>
    </w:r>
  </w:p>
  <w:p w14:paraId="75E359D1" w14:textId="77777777" w:rsidR="00354F33" w:rsidRDefault="00354F33" w:rsidP="004900BB">
    <w:pPr>
      <w:pStyle w:val="ad"/>
      <w:tabs>
        <w:tab w:val="center" w:pos="5220"/>
        <w:tab w:val="left" w:pos="7008"/>
      </w:tabs>
      <w:jc w:val="center"/>
    </w:pPr>
    <w:sdt>
      <w:sdtPr>
        <w:id w:val="1869406748"/>
        <w:docPartObj>
          <w:docPartGallery w:val="Page Numbers (Top of Page)"/>
          <w:docPartUnique/>
        </w:docPartObj>
      </w:sdtPr>
      <w:sdtContent>
        <w:r>
          <w:fldChar w:fldCharType="begin"/>
        </w:r>
        <w:r>
          <w:instrText>PAGE   \* MERGEFORMAT</w:instrText>
        </w:r>
        <w:r>
          <w:fldChar w:fldCharType="separate"/>
        </w:r>
        <w:r>
          <w:rPr>
            <w:noProof/>
          </w:rPr>
          <w:t>1</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BEA"/>
    <w:multiLevelType w:val="hybridMultilevel"/>
    <w:tmpl w:val="9B244472"/>
    <w:lvl w:ilvl="0" w:tplc="3E082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6543E"/>
    <w:multiLevelType w:val="hybridMultilevel"/>
    <w:tmpl w:val="C2165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4399E"/>
    <w:multiLevelType w:val="hybridMultilevel"/>
    <w:tmpl w:val="5A5A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87FBB"/>
    <w:multiLevelType w:val="hybridMultilevel"/>
    <w:tmpl w:val="B80E89F2"/>
    <w:lvl w:ilvl="0" w:tplc="9A1226FA">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494629"/>
    <w:multiLevelType w:val="hybridMultilevel"/>
    <w:tmpl w:val="06EABC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E1F29"/>
    <w:multiLevelType w:val="hybridMultilevel"/>
    <w:tmpl w:val="04105C1C"/>
    <w:lvl w:ilvl="0" w:tplc="F31045B6">
      <w:start w:val="1"/>
      <w:numFmt w:val="bullet"/>
      <w:lvlText w:val="-"/>
      <w:lvlJc w:val="left"/>
    </w:lvl>
    <w:lvl w:ilvl="1" w:tplc="D6AE7298">
      <w:numFmt w:val="decimal"/>
      <w:lvlText w:val=""/>
      <w:lvlJc w:val="left"/>
    </w:lvl>
    <w:lvl w:ilvl="2" w:tplc="C0BA3DF6">
      <w:numFmt w:val="decimal"/>
      <w:lvlText w:val=""/>
      <w:lvlJc w:val="left"/>
    </w:lvl>
    <w:lvl w:ilvl="3" w:tplc="875EB67C">
      <w:numFmt w:val="decimal"/>
      <w:lvlText w:val=""/>
      <w:lvlJc w:val="left"/>
    </w:lvl>
    <w:lvl w:ilvl="4" w:tplc="3DCA009C">
      <w:numFmt w:val="decimal"/>
      <w:lvlText w:val=""/>
      <w:lvlJc w:val="left"/>
    </w:lvl>
    <w:lvl w:ilvl="5" w:tplc="C5587D94">
      <w:numFmt w:val="decimal"/>
      <w:lvlText w:val=""/>
      <w:lvlJc w:val="left"/>
    </w:lvl>
    <w:lvl w:ilvl="6" w:tplc="274E61DA">
      <w:numFmt w:val="decimal"/>
      <w:lvlText w:val=""/>
      <w:lvlJc w:val="left"/>
    </w:lvl>
    <w:lvl w:ilvl="7" w:tplc="52A01836">
      <w:numFmt w:val="decimal"/>
      <w:lvlText w:val=""/>
      <w:lvlJc w:val="left"/>
    </w:lvl>
    <w:lvl w:ilvl="8" w:tplc="50427244">
      <w:numFmt w:val="decimal"/>
      <w:lvlText w:val=""/>
      <w:lvlJc w:val="left"/>
    </w:lvl>
  </w:abstractNum>
  <w:abstractNum w:abstractNumId="6" w15:restartNumberingAfterBreak="0">
    <w:nsid w:val="2EA069E4"/>
    <w:multiLevelType w:val="multilevel"/>
    <w:tmpl w:val="4C42083C"/>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B141F2"/>
    <w:multiLevelType w:val="hybridMultilevel"/>
    <w:tmpl w:val="2B500EF2"/>
    <w:lvl w:ilvl="0" w:tplc="B91AAC38">
      <w:start w:val="4"/>
      <w:numFmt w:val="decimal"/>
      <w:lvlText w:val="%1."/>
      <w:lvlJc w:val="left"/>
    </w:lvl>
    <w:lvl w:ilvl="1" w:tplc="5CBC044C">
      <w:numFmt w:val="decimal"/>
      <w:lvlText w:val=""/>
      <w:lvlJc w:val="left"/>
    </w:lvl>
    <w:lvl w:ilvl="2" w:tplc="46E6635C">
      <w:numFmt w:val="decimal"/>
      <w:lvlText w:val=""/>
      <w:lvlJc w:val="left"/>
    </w:lvl>
    <w:lvl w:ilvl="3" w:tplc="23B8A660">
      <w:numFmt w:val="decimal"/>
      <w:lvlText w:val=""/>
      <w:lvlJc w:val="left"/>
    </w:lvl>
    <w:lvl w:ilvl="4" w:tplc="3C8C1B08">
      <w:numFmt w:val="decimal"/>
      <w:lvlText w:val=""/>
      <w:lvlJc w:val="left"/>
    </w:lvl>
    <w:lvl w:ilvl="5" w:tplc="406CDA76">
      <w:numFmt w:val="decimal"/>
      <w:lvlText w:val=""/>
      <w:lvlJc w:val="left"/>
    </w:lvl>
    <w:lvl w:ilvl="6" w:tplc="78747F00">
      <w:numFmt w:val="decimal"/>
      <w:lvlText w:val=""/>
      <w:lvlJc w:val="left"/>
    </w:lvl>
    <w:lvl w:ilvl="7" w:tplc="C2560566">
      <w:numFmt w:val="decimal"/>
      <w:lvlText w:val=""/>
      <w:lvlJc w:val="left"/>
    </w:lvl>
    <w:lvl w:ilvl="8" w:tplc="77AEB790">
      <w:numFmt w:val="decimal"/>
      <w:lvlText w:val=""/>
      <w:lvlJc w:val="left"/>
    </w:lvl>
  </w:abstractNum>
  <w:abstractNum w:abstractNumId="8" w15:restartNumberingAfterBreak="0">
    <w:nsid w:val="324A703A"/>
    <w:multiLevelType w:val="multilevel"/>
    <w:tmpl w:val="32625CA8"/>
    <w:lvl w:ilvl="0">
      <w:start w:val="1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6F63A0"/>
    <w:multiLevelType w:val="multilevel"/>
    <w:tmpl w:val="063A5AF8"/>
    <w:lvl w:ilvl="0">
      <w:start w:val="10"/>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7775FD"/>
    <w:multiLevelType w:val="multilevel"/>
    <w:tmpl w:val="9CACF4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B351AE0"/>
    <w:multiLevelType w:val="multilevel"/>
    <w:tmpl w:val="8FC4FBA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6178C"/>
    <w:multiLevelType w:val="multilevel"/>
    <w:tmpl w:val="1DD49ED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1B58BA"/>
    <w:multiLevelType w:val="hybridMultilevel"/>
    <w:tmpl w:val="C8AE50F8"/>
    <w:lvl w:ilvl="0" w:tplc="B5A617C0">
      <w:start w:val="1"/>
      <w:numFmt w:val="bullet"/>
      <w:lvlText w:val=""/>
      <w:lvlJc w:val="left"/>
    </w:lvl>
    <w:lvl w:ilvl="1" w:tplc="A8B48BCE">
      <w:numFmt w:val="decimal"/>
      <w:lvlText w:val=""/>
      <w:lvlJc w:val="left"/>
    </w:lvl>
    <w:lvl w:ilvl="2" w:tplc="F10258EA">
      <w:numFmt w:val="decimal"/>
      <w:lvlText w:val=""/>
      <w:lvlJc w:val="left"/>
    </w:lvl>
    <w:lvl w:ilvl="3" w:tplc="73C6EB94">
      <w:numFmt w:val="decimal"/>
      <w:lvlText w:val=""/>
      <w:lvlJc w:val="left"/>
    </w:lvl>
    <w:lvl w:ilvl="4" w:tplc="1D80FAB4">
      <w:numFmt w:val="decimal"/>
      <w:lvlText w:val=""/>
      <w:lvlJc w:val="left"/>
    </w:lvl>
    <w:lvl w:ilvl="5" w:tplc="8B52602C">
      <w:numFmt w:val="decimal"/>
      <w:lvlText w:val=""/>
      <w:lvlJc w:val="left"/>
    </w:lvl>
    <w:lvl w:ilvl="6" w:tplc="110E92A6">
      <w:numFmt w:val="decimal"/>
      <w:lvlText w:val=""/>
      <w:lvlJc w:val="left"/>
    </w:lvl>
    <w:lvl w:ilvl="7" w:tplc="5F9C4FD2">
      <w:numFmt w:val="decimal"/>
      <w:lvlText w:val=""/>
      <w:lvlJc w:val="left"/>
    </w:lvl>
    <w:lvl w:ilvl="8" w:tplc="8570923E">
      <w:numFmt w:val="decimal"/>
      <w:lvlText w:val=""/>
      <w:lvlJc w:val="left"/>
    </w:lvl>
  </w:abstractNum>
  <w:abstractNum w:abstractNumId="14" w15:restartNumberingAfterBreak="0">
    <w:nsid w:val="3DC32143"/>
    <w:multiLevelType w:val="hybridMultilevel"/>
    <w:tmpl w:val="567E8A0A"/>
    <w:lvl w:ilvl="0" w:tplc="951E0A58">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B71EFB"/>
    <w:multiLevelType w:val="hybridMultilevel"/>
    <w:tmpl w:val="9404D8FE"/>
    <w:lvl w:ilvl="0" w:tplc="363283D2">
      <w:start w:val="6"/>
      <w:numFmt w:val="decimal"/>
      <w:lvlText w:val="%1."/>
      <w:lvlJc w:val="left"/>
    </w:lvl>
    <w:lvl w:ilvl="1" w:tplc="B16AC13E">
      <w:numFmt w:val="decimal"/>
      <w:lvlText w:val=""/>
      <w:lvlJc w:val="left"/>
    </w:lvl>
    <w:lvl w:ilvl="2" w:tplc="DE005FB6">
      <w:numFmt w:val="decimal"/>
      <w:lvlText w:val=""/>
      <w:lvlJc w:val="left"/>
    </w:lvl>
    <w:lvl w:ilvl="3" w:tplc="3E92C8EE">
      <w:numFmt w:val="decimal"/>
      <w:lvlText w:val=""/>
      <w:lvlJc w:val="left"/>
    </w:lvl>
    <w:lvl w:ilvl="4" w:tplc="FE104C9C">
      <w:numFmt w:val="decimal"/>
      <w:lvlText w:val=""/>
      <w:lvlJc w:val="left"/>
    </w:lvl>
    <w:lvl w:ilvl="5" w:tplc="7EF4F4C4">
      <w:numFmt w:val="decimal"/>
      <w:lvlText w:val=""/>
      <w:lvlJc w:val="left"/>
    </w:lvl>
    <w:lvl w:ilvl="6" w:tplc="B3765478">
      <w:numFmt w:val="decimal"/>
      <w:lvlText w:val=""/>
      <w:lvlJc w:val="left"/>
    </w:lvl>
    <w:lvl w:ilvl="7" w:tplc="F6DE2430">
      <w:numFmt w:val="decimal"/>
      <w:lvlText w:val=""/>
      <w:lvlJc w:val="left"/>
    </w:lvl>
    <w:lvl w:ilvl="8" w:tplc="CB2848E2">
      <w:numFmt w:val="decimal"/>
      <w:lvlText w:val=""/>
      <w:lvlJc w:val="left"/>
    </w:lvl>
  </w:abstractNum>
  <w:abstractNum w:abstractNumId="16" w15:restartNumberingAfterBreak="0">
    <w:nsid w:val="468D5AEE"/>
    <w:multiLevelType w:val="multilevel"/>
    <w:tmpl w:val="A4E08D1A"/>
    <w:lvl w:ilvl="0">
      <w:start w:val="10"/>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E87CCD"/>
    <w:multiLevelType w:val="hybridMultilevel"/>
    <w:tmpl w:val="0BB2F25A"/>
    <w:lvl w:ilvl="0" w:tplc="3164412E">
      <w:start w:val="3"/>
      <w:numFmt w:val="decimal"/>
      <w:lvlText w:val="%1."/>
      <w:lvlJc w:val="left"/>
    </w:lvl>
    <w:lvl w:ilvl="1" w:tplc="EDBE5BA6">
      <w:numFmt w:val="decimal"/>
      <w:lvlText w:val=""/>
      <w:lvlJc w:val="left"/>
    </w:lvl>
    <w:lvl w:ilvl="2" w:tplc="686A4AF2">
      <w:numFmt w:val="decimal"/>
      <w:lvlText w:val=""/>
      <w:lvlJc w:val="left"/>
    </w:lvl>
    <w:lvl w:ilvl="3" w:tplc="B114F96C">
      <w:numFmt w:val="decimal"/>
      <w:lvlText w:val=""/>
      <w:lvlJc w:val="left"/>
    </w:lvl>
    <w:lvl w:ilvl="4" w:tplc="643CE36C">
      <w:numFmt w:val="decimal"/>
      <w:lvlText w:val=""/>
      <w:lvlJc w:val="left"/>
    </w:lvl>
    <w:lvl w:ilvl="5" w:tplc="3D101D46">
      <w:numFmt w:val="decimal"/>
      <w:lvlText w:val=""/>
      <w:lvlJc w:val="left"/>
    </w:lvl>
    <w:lvl w:ilvl="6" w:tplc="5F36366A">
      <w:numFmt w:val="decimal"/>
      <w:lvlText w:val=""/>
      <w:lvlJc w:val="left"/>
    </w:lvl>
    <w:lvl w:ilvl="7" w:tplc="F0AC8E72">
      <w:numFmt w:val="decimal"/>
      <w:lvlText w:val=""/>
      <w:lvlJc w:val="left"/>
    </w:lvl>
    <w:lvl w:ilvl="8" w:tplc="16645EF2">
      <w:numFmt w:val="decimal"/>
      <w:lvlText w:val=""/>
      <w:lvlJc w:val="left"/>
    </w:lvl>
  </w:abstractNum>
  <w:abstractNum w:abstractNumId="18" w15:restartNumberingAfterBreak="0">
    <w:nsid w:val="507ED7AB"/>
    <w:multiLevelType w:val="hybridMultilevel"/>
    <w:tmpl w:val="FDBA94D4"/>
    <w:lvl w:ilvl="0" w:tplc="0D72157A">
      <w:start w:val="1"/>
      <w:numFmt w:val="bullet"/>
      <w:lvlText w:val=""/>
      <w:lvlJc w:val="left"/>
    </w:lvl>
    <w:lvl w:ilvl="1" w:tplc="64A22120">
      <w:numFmt w:val="decimal"/>
      <w:lvlText w:val=""/>
      <w:lvlJc w:val="left"/>
    </w:lvl>
    <w:lvl w:ilvl="2" w:tplc="228A65FE">
      <w:numFmt w:val="decimal"/>
      <w:lvlText w:val=""/>
      <w:lvlJc w:val="left"/>
    </w:lvl>
    <w:lvl w:ilvl="3" w:tplc="315E3392">
      <w:numFmt w:val="decimal"/>
      <w:lvlText w:val=""/>
      <w:lvlJc w:val="left"/>
    </w:lvl>
    <w:lvl w:ilvl="4" w:tplc="D46A60C8">
      <w:numFmt w:val="decimal"/>
      <w:lvlText w:val=""/>
      <w:lvlJc w:val="left"/>
    </w:lvl>
    <w:lvl w:ilvl="5" w:tplc="625CD894">
      <w:numFmt w:val="decimal"/>
      <w:lvlText w:val=""/>
      <w:lvlJc w:val="left"/>
    </w:lvl>
    <w:lvl w:ilvl="6" w:tplc="54304D32">
      <w:numFmt w:val="decimal"/>
      <w:lvlText w:val=""/>
      <w:lvlJc w:val="left"/>
    </w:lvl>
    <w:lvl w:ilvl="7" w:tplc="C9101784">
      <w:numFmt w:val="decimal"/>
      <w:lvlText w:val=""/>
      <w:lvlJc w:val="left"/>
    </w:lvl>
    <w:lvl w:ilvl="8" w:tplc="A41E8964">
      <w:numFmt w:val="decimal"/>
      <w:lvlText w:val=""/>
      <w:lvlJc w:val="left"/>
    </w:lvl>
  </w:abstractNum>
  <w:abstractNum w:abstractNumId="19" w15:restartNumberingAfterBreak="0">
    <w:nsid w:val="59985AE0"/>
    <w:multiLevelType w:val="hybridMultilevel"/>
    <w:tmpl w:val="D610AABE"/>
    <w:lvl w:ilvl="0" w:tplc="D4B839D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A15536"/>
    <w:multiLevelType w:val="hybridMultilevel"/>
    <w:tmpl w:val="226E4972"/>
    <w:lvl w:ilvl="0" w:tplc="F6FE030C">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558EC"/>
    <w:multiLevelType w:val="hybridMultilevel"/>
    <w:tmpl w:val="C032CA2C"/>
    <w:lvl w:ilvl="0" w:tplc="805E19EA">
      <w:start w:val="1"/>
      <w:numFmt w:val="bullet"/>
      <w:lvlText w:val=""/>
      <w:lvlJc w:val="left"/>
    </w:lvl>
    <w:lvl w:ilvl="1" w:tplc="7BC819AA">
      <w:numFmt w:val="decimal"/>
      <w:lvlText w:val=""/>
      <w:lvlJc w:val="left"/>
    </w:lvl>
    <w:lvl w:ilvl="2" w:tplc="FAF4F5DC">
      <w:numFmt w:val="decimal"/>
      <w:lvlText w:val=""/>
      <w:lvlJc w:val="left"/>
    </w:lvl>
    <w:lvl w:ilvl="3" w:tplc="8386342E">
      <w:numFmt w:val="decimal"/>
      <w:lvlText w:val=""/>
      <w:lvlJc w:val="left"/>
    </w:lvl>
    <w:lvl w:ilvl="4" w:tplc="1D0EF3CA">
      <w:numFmt w:val="decimal"/>
      <w:lvlText w:val=""/>
      <w:lvlJc w:val="left"/>
    </w:lvl>
    <w:lvl w:ilvl="5" w:tplc="4BBA94A6">
      <w:numFmt w:val="decimal"/>
      <w:lvlText w:val=""/>
      <w:lvlJc w:val="left"/>
    </w:lvl>
    <w:lvl w:ilvl="6" w:tplc="4CA00ECC">
      <w:numFmt w:val="decimal"/>
      <w:lvlText w:val=""/>
      <w:lvlJc w:val="left"/>
    </w:lvl>
    <w:lvl w:ilvl="7" w:tplc="130C33BC">
      <w:numFmt w:val="decimal"/>
      <w:lvlText w:val=""/>
      <w:lvlJc w:val="left"/>
    </w:lvl>
    <w:lvl w:ilvl="8" w:tplc="08E8FE80">
      <w:numFmt w:val="decimal"/>
      <w:lvlText w:val=""/>
      <w:lvlJc w:val="left"/>
    </w:lvl>
  </w:abstractNum>
  <w:num w:numId="1">
    <w:abstractNumId w:val="21"/>
  </w:num>
  <w:num w:numId="2">
    <w:abstractNumId w:val="5"/>
  </w:num>
  <w:num w:numId="3">
    <w:abstractNumId w:val="17"/>
  </w:num>
  <w:num w:numId="4">
    <w:abstractNumId w:val="13"/>
  </w:num>
  <w:num w:numId="5">
    <w:abstractNumId w:val="18"/>
  </w:num>
  <w:num w:numId="6">
    <w:abstractNumId w:val="7"/>
  </w:num>
  <w:num w:numId="7">
    <w:abstractNumId w:val="15"/>
  </w:num>
  <w:num w:numId="8">
    <w:abstractNumId w:val="2"/>
  </w:num>
  <w:num w:numId="9">
    <w:abstractNumId w:val="0"/>
  </w:num>
  <w:num w:numId="10">
    <w:abstractNumId w:val="1"/>
  </w:num>
  <w:num w:numId="11">
    <w:abstractNumId w:val="4"/>
  </w:num>
  <w:num w:numId="12">
    <w:abstractNumId w:val="10"/>
  </w:num>
  <w:num w:numId="13">
    <w:abstractNumId w:val="20"/>
  </w:num>
  <w:num w:numId="14">
    <w:abstractNumId w:val="9"/>
  </w:num>
  <w:num w:numId="15">
    <w:abstractNumId w:val="16"/>
  </w:num>
  <w:num w:numId="16">
    <w:abstractNumId w:val="6"/>
  </w:num>
  <w:num w:numId="17">
    <w:abstractNumId w:val="8"/>
  </w:num>
  <w:num w:numId="18">
    <w:abstractNumId w:val="11"/>
  </w:num>
  <w:num w:numId="19">
    <w:abstractNumId w:val="19"/>
  </w:num>
  <w:num w:numId="20">
    <w:abstractNumId w:val="1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0E"/>
    <w:rsid w:val="00007806"/>
    <w:rsid w:val="00017608"/>
    <w:rsid w:val="00033821"/>
    <w:rsid w:val="00034B8B"/>
    <w:rsid w:val="0004200E"/>
    <w:rsid w:val="0005638E"/>
    <w:rsid w:val="0006188C"/>
    <w:rsid w:val="0006459D"/>
    <w:rsid w:val="0007170F"/>
    <w:rsid w:val="00076EF8"/>
    <w:rsid w:val="00083FAF"/>
    <w:rsid w:val="00090618"/>
    <w:rsid w:val="00090A67"/>
    <w:rsid w:val="00091057"/>
    <w:rsid w:val="0009789D"/>
    <w:rsid w:val="000A05E2"/>
    <w:rsid w:val="000A1786"/>
    <w:rsid w:val="000B34E1"/>
    <w:rsid w:val="000B5715"/>
    <w:rsid w:val="000C3E21"/>
    <w:rsid w:val="000D0261"/>
    <w:rsid w:val="000D1F02"/>
    <w:rsid w:val="000D24F7"/>
    <w:rsid w:val="000E08BA"/>
    <w:rsid w:val="000E129B"/>
    <w:rsid w:val="000F3D7B"/>
    <w:rsid w:val="00105A16"/>
    <w:rsid w:val="00114315"/>
    <w:rsid w:val="0011687F"/>
    <w:rsid w:val="00131BF7"/>
    <w:rsid w:val="00134C59"/>
    <w:rsid w:val="00146E99"/>
    <w:rsid w:val="00175D6F"/>
    <w:rsid w:val="0019219C"/>
    <w:rsid w:val="001A5EEF"/>
    <w:rsid w:val="001A68D6"/>
    <w:rsid w:val="001B732F"/>
    <w:rsid w:val="001C6AFF"/>
    <w:rsid w:val="001D72EF"/>
    <w:rsid w:val="001E2AC8"/>
    <w:rsid w:val="001E4614"/>
    <w:rsid w:val="001E78E8"/>
    <w:rsid w:val="001F687A"/>
    <w:rsid w:val="0021146A"/>
    <w:rsid w:val="002117BD"/>
    <w:rsid w:val="0021753E"/>
    <w:rsid w:val="002328DB"/>
    <w:rsid w:val="002424B2"/>
    <w:rsid w:val="0024615E"/>
    <w:rsid w:val="002512C2"/>
    <w:rsid w:val="00256358"/>
    <w:rsid w:val="002718D4"/>
    <w:rsid w:val="00274194"/>
    <w:rsid w:val="0028276B"/>
    <w:rsid w:val="00297290"/>
    <w:rsid w:val="00297474"/>
    <w:rsid w:val="002A07C7"/>
    <w:rsid w:val="002A4244"/>
    <w:rsid w:val="002B244D"/>
    <w:rsid w:val="002C5E7F"/>
    <w:rsid w:val="002C6F64"/>
    <w:rsid w:val="002D28A0"/>
    <w:rsid w:val="002D2986"/>
    <w:rsid w:val="002D2F6D"/>
    <w:rsid w:val="002D4ACB"/>
    <w:rsid w:val="002E560D"/>
    <w:rsid w:val="002E69BA"/>
    <w:rsid w:val="00321D14"/>
    <w:rsid w:val="00333A6E"/>
    <w:rsid w:val="003344DC"/>
    <w:rsid w:val="00336E2A"/>
    <w:rsid w:val="003544AE"/>
    <w:rsid w:val="00354F33"/>
    <w:rsid w:val="00363128"/>
    <w:rsid w:val="00363B2C"/>
    <w:rsid w:val="00376195"/>
    <w:rsid w:val="00386470"/>
    <w:rsid w:val="003923FF"/>
    <w:rsid w:val="0039792B"/>
    <w:rsid w:val="003B0379"/>
    <w:rsid w:val="003B11E3"/>
    <w:rsid w:val="003B2EE5"/>
    <w:rsid w:val="003C018B"/>
    <w:rsid w:val="003C0B07"/>
    <w:rsid w:val="003E08FF"/>
    <w:rsid w:val="003E4915"/>
    <w:rsid w:val="003E77ED"/>
    <w:rsid w:val="003F41DA"/>
    <w:rsid w:val="003F78D4"/>
    <w:rsid w:val="004013D6"/>
    <w:rsid w:val="00407594"/>
    <w:rsid w:val="004102B7"/>
    <w:rsid w:val="004123AE"/>
    <w:rsid w:val="00414191"/>
    <w:rsid w:val="0042066E"/>
    <w:rsid w:val="00425568"/>
    <w:rsid w:val="00433D69"/>
    <w:rsid w:val="00433E09"/>
    <w:rsid w:val="00437166"/>
    <w:rsid w:val="0044157E"/>
    <w:rsid w:val="00441BD7"/>
    <w:rsid w:val="004478F3"/>
    <w:rsid w:val="0045014D"/>
    <w:rsid w:val="00467DAA"/>
    <w:rsid w:val="00473903"/>
    <w:rsid w:val="004820FC"/>
    <w:rsid w:val="004900BB"/>
    <w:rsid w:val="0049223B"/>
    <w:rsid w:val="0049615D"/>
    <w:rsid w:val="00497088"/>
    <w:rsid w:val="004A60D5"/>
    <w:rsid w:val="004B5383"/>
    <w:rsid w:val="004B7B02"/>
    <w:rsid w:val="004C7AC3"/>
    <w:rsid w:val="004D55F3"/>
    <w:rsid w:val="004D688E"/>
    <w:rsid w:val="004E2F72"/>
    <w:rsid w:val="004E3511"/>
    <w:rsid w:val="004F0F03"/>
    <w:rsid w:val="004F4A37"/>
    <w:rsid w:val="004F6B50"/>
    <w:rsid w:val="00510904"/>
    <w:rsid w:val="00513254"/>
    <w:rsid w:val="005223E6"/>
    <w:rsid w:val="00525487"/>
    <w:rsid w:val="00526428"/>
    <w:rsid w:val="0052720F"/>
    <w:rsid w:val="00531121"/>
    <w:rsid w:val="00541B32"/>
    <w:rsid w:val="00551CD6"/>
    <w:rsid w:val="00561366"/>
    <w:rsid w:val="0056182D"/>
    <w:rsid w:val="00566D6E"/>
    <w:rsid w:val="00576227"/>
    <w:rsid w:val="005876A2"/>
    <w:rsid w:val="00587E40"/>
    <w:rsid w:val="00590A1B"/>
    <w:rsid w:val="00596A91"/>
    <w:rsid w:val="005974D2"/>
    <w:rsid w:val="00597B59"/>
    <w:rsid w:val="005A1465"/>
    <w:rsid w:val="005A28A0"/>
    <w:rsid w:val="005A2E86"/>
    <w:rsid w:val="005A3305"/>
    <w:rsid w:val="005A50AA"/>
    <w:rsid w:val="005A6071"/>
    <w:rsid w:val="005B6845"/>
    <w:rsid w:val="005B7F0C"/>
    <w:rsid w:val="005C62D6"/>
    <w:rsid w:val="005D2A91"/>
    <w:rsid w:val="005E3E05"/>
    <w:rsid w:val="005E4D44"/>
    <w:rsid w:val="005E4F0B"/>
    <w:rsid w:val="005F5821"/>
    <w:rsid w:val="005F7471"/>
    <w:rsid w:val="0060034E"/>
    <w:rsid w:val="006038BA"/>
    <w:rsid w:val="00604326"/>
    <w:rsid w:val="006072F5"/>
    <w:rsid w:val="006075EE"/>
    <w:rsid w:val="00610933"/>
    <w:rsid w:val="006250FD"/>
    <w:rsid w:val="0062702C"/>
    <w:rsid w:val="0063075E"/>
    <w:rsid w:val="006371F3"/>
    <w:rsid w:val="00637F83"/>
    <w:rsid w:val="00643AFB"/>
    <w:rsid w:val="006531B4"/>
    <w:rsid w:val="006551E1"/>
    <w:rsid w:val="0067080E"/>
    <w:rsid w:val="00670BF6"/>
    <w:rsid w:val="006713F3"/>
    <w:rsid w:val="00674FB4"/>
    <w:rsid w:val="00675324"/>
    <w:rsid w:val="00677E35"/>
    <w:rsid w:val="00680FC6"/>
    <w:rsid w:val="00682938"/>
    <w:rsid w:val="00685B1F"/>
    <w:rsid w:val="006A316D"/>
    <w:rsid w:val="006A75FC"/>
    <w:rsid w:val="006C5A16"/>
    <w:rsid w:val="006C70FD"/>
    <w:rsid w:val="006E0581"/>
    <w:rsid w:val="006E0D09"/>
    <w:rsid w:val="006E1883"/>
    <w:rsid w:val="006E60D5"/>
    <w:rsid w:val="006F3C10"/>
    <w:rsid w:val="006F5A21"/>
    <w:rsid w:val="007023AA"/>
    <w:rsid w:val="00706971"/>
    <w:rsid w:val="0071159E"/>
    <w:rsid w:val="00725806"/>
    <w:rsid w:val="00727287"/>
    <w:rsid w:val="0073307C"/>
    <w:rsid w:val="007438E9"/>
    <w:rsid w:val="0074789E"/>
    <w:rsid w:val="00750882"/>
    <w:rsid w:val="00762FF9"/>
    <w:rsid w:val="0076422E"/>
    <w:rsid w:val="007820FC"/>
    <w:rsid w:val="00782A88"/>
    <w:rsid w:val="00782BFA"/>
    <w:rsid w:val="00792697"/>
    <w:rsid w:val="007943C6"/>
    <w:rsid w:val="007947A8"/>
    <w:rsid w:val="00795792"/>
    <w:rsid w:val="007B3F8E"/>
    <w:rsid w:val="007C168F"/>
    <w:rsid w:val="007C2C6C"/>
    <w:rsid w:val="007C65BD"/>
    <w:rsid w:val="007D4FDE"/>
    <w:rsid w:val="007E35E9"/>
    <w:rsid w:val="007E7059"/>
    <w:rsid w:val="008044DD"/>
    <w:rsid w:val="0080476D"/>
    <w:rsid w:val="00811D9E"/>
    <w:rsid w:val="00815CBC"/>
    <w:rsid w:val="008175E9"/>
    <w:rsid w:val="00834192"/>
    <w:rsid w:val="00835751"/>
    <w:rsid w:val="008406ED"/>
    <w:rsid w:val="00842AA9"/>
    <w:rsid w:val="00842DF8"/>
    <w:rsid w:val="0084755A"/>
    <w:rsid w:val="00853D47"/>
    <w:rsid w:val="00861F02"/>
    <w:rsid w:val="008748DE"/>
    <w:rsid w:val="00882FA0"/>
    <w:rsid w:val="008841A6"/>
    <w:rsid w:val="00887AD5"/>
    <w:rsid w:val="00892D7E"/>
    <w:rsid w:val="00894835"/>
    <w:rsid w:val="008949D9"/>
    <w:rsid w:val="008A0C35"/>
    <w:rsid w:val="008A5177"/>
    <w:rsid w:val="008A5F91"/>
    <w:rsid w:val="008B77D8"/>
    <w:rsid w:val="008F01E5"/>
    <w:rsid w:val="008F1340"/>
    <w:rsid w:val="00901235"/>
    <w:rsid w:val="00903F44"/>
    <w:rsid w:val="00914902"/>
    <w:rsid w:val="00920E22"/>
    <w:rsid w:val="00922FB0"/>
    <w:rsid w:val="0092766F"/>
    <w:rsid w:val="00932B7F"/>
    <w:rsid w:val="00947C5B"/>
    <w:rsid w:val="00957C16"/>
    <w:rsid w:val="009640CB"/>
    <w:rsid w:val="009711BC"/>
    <w:rsid w:val="00971982"/>
    <w:rsid w:val="00980A9A"/>
    <w:rsid w:val="009865A9"/>
    <w:rsid w:val="009952A9"/>
    <w:rsid w:val="00996EF7"/>
    <w:rsid w:val="009A41FF"/>
    <w:rsid w:val="009A6AF0"/>
    <w:rsid w:val="009B5A62"/>
    <w:rsid w:val="009C0156"/>
    <w:rsid w:val="009C125A"/>
    <w:rsid w:val="009C6FD3"/>
    <w:rsid w:val="009D0007"/>
    <w:rsid w:val="009D3DFC"/>
    <w:rsid w:val="009E4784"/>
    <w:rsid w:val="009E4FE6"/>
    <w:rsid w:val="009F58F2"/>
    <w:rsid w:val="00A005B1"/>
    <w:rsid w:val="00A04460"/>
    <w:rsid w:val="00A3588D"/>
    <w:rsid w:val="00A53C1E"/>
    <w:rsid w:val="00A53EA9"/>
    <w:rsid w:val="00A64165"/>
    <w:rsid w:val="00A66674"/>
    <w:rsid w:val="00A72191"/>
    <w:rsid w:val="00A876E7"/>
    <w:rsid w:val="00A9029F"/>
    <w:rsid w:val="00A907CA"/>
    <w:rsid w:val="00A909BE"/>
    <w:rsid w:val="00A937C6"/>
    <w:rsid w:val="00A958C5"/>
    <w:rsid w:val="00A959A8"/>
    <w:rsid w:val="00A978A1"/>
    <w:rsid w:val="00AB05E4"/>
    <w:rsid w:val="00AC1FE4"/>
    <w:rsid w:val="00AC2880"/>
    <w:rsid w:val="00AD01F4"/>
    <w:rsid w:val="00AD2176"/>
    <w:rsid w:val="00AD24F8"/>
    <w:rsid w:val="00AF64F4"/>
    <w:rsid w:val="00B07DC1"/>
    <w:rsid w:val="00B11BA7"/>
    <w:rsid w:val="00B22C67"/>
    <w:rsid w:val="00B235EC"/>
    <w:rsid w:val="00B259BC"/>
    <w:rsid w:val="00B552E8"/>
    <w:rsid w:val="00B613D4"/>
    <w:rsid w:val="00B72788"/>
    <w:rsid w:val="00B73AE3"/>
    <w:rsid w:val="00B7766F"/>
    <w:rsid w:val="00B77BAE"/>
    <w:rsid w:val="00B94AF6"/>
    <w:rsid w:val="00BB1CEE"/>
    <w:rsid w:val="00BB1D2E"/>
    <w:rsid w:val="00BB42DC"/>
    <w:rsid w:val="00BE27EB"/>
    <w:rsid w:val="00BE2BC3"/>
    <w:rsid w:val="00C0661A"/>
    <w:rsid w:val="00C127AC"/>
    <w:rsid w:val="00C13D02"/>
    <w:rsid w:val="00C2407B"/>
    <w:rsid w:val="00C25634"/>
    <w:rsid w:val="00C25FC7"/>
    <w:rsid w:val="00C3312A"/>
    <w:rsid w:val="00C42165"/>
    <w:rsid w:val="00C51C9F"/>
    <w:rsid w:val="00C54728"/>
    <w:rsid w:val="00C54734"/>
    <w:rsid w:val="00C55BEE"/>
    <w:rsid w:val="00C60C06"/>
    <w:rsid w:val="00C62DDB"/>
    <w:rsid w:val="00C736AD"/>
    <w:rsid w:val="00C74570"/>
    <w:rsid w:val="00C8755E"/>
    <w:rsid w:val="00CB1F71"/>
    <w:rsid w:val="00CC2A6F"/>
    <w:rsid w:val="00CC7A06"/>
    <w:rsid w:val="00CD768D"/>
    <w:rsid w:val="00CE45DE"/>
    <w:rsid w:val="00CF3836"/>
    <w:rsid w:val="00D05136"/>
    <w:rsid w:val="00D202DE"/>
    <w:rsid w:val="00D215E1"/>
    <w:rsid w:val="00D26A64"/>
    <w:rsid w:val="00D31B62"/>
    <w:rsid w:val="00D344E1"/>
    <w:rsid w:val="00D3511E"/>
    <w:rsid w:val="00D41F2F"/>
    <w:rsid w:val="00D71899"/>
    <w:rsid w:val="00D8188A"/>
    <w:rsid w:val="00D84130"/>
    <w:rsid w:val="00D86E4E"/>
    <w:rsid w:val="00DA2BBF"/>
    <w:rsid w:val="00DA583A"/>
    <w:rsid w:val="00DA6002"/>
    <w:rsid w:val="00DA6F90"/>
    <w:rsid w:val="00DA7484"/>
    <w:rsid w:val="00DB4C3A"/>
    <w:rsid w:val="00DC6A20"/>
    <w:rsid w:val="00DD1D55"/>
    <w:rsid w:val="00DD36CA"/>
    <w:rsid w:val="00DE3360"/>
    <w:rsid w:val="00E0195C"/>
    <w:rsid w:val="00E177A4"/>
    <w:rsid w:val="00E26C99"/>
    <w:rsid w:val="00E3086B"/>
    <w:rsid w:val="00E37413"/>
    <w:rsid w:val="00E40404"/>
    <w:rsid w:val="00E40AA0"/>
    <w:rsid w:val="00E53D4D"/>
    <w:rsid w:val="00E55DE6"/>
    <w:rsid w:val="00E61F95"/>
    <w:rsid w:val="00E76263"/>
    <w:rsid w:val="00E8292A"/>
    <w:rsid w:val="00E858A0"/>
    <w:rsid w:val="00E87249"/>
    <w:rsid w:val="00E908A5"/>
    <w:rsid w:val="00E91CAC"/>
    <w:rsid w:val="00EA4644"/>
    <w:rsid w:val="00EB508C"/>
    <w:rsid w:val="00EC0BE3"/>
    <w:rsid w:val="00EE5C9D"/>
    <w:rsid w:val="00EE7D83"/>
    <w:rsid w:val="00EF1E68"/>
    <w:rsid w:val="00EF3DBD"/>
    <w:rsid w:val="00F04D3E"/>
    <w:rsid w:val="00F12799"/>
    <w:rsid w:val="00F17D0D"/>
    <w:rsid w:val="00F247A9"/>
    <w:rsid w:val="00F277AC"/>
    <w:rsid w:val="00F357BC"/>
    <w:rsid w:val="00F35990"/>
    <w:rsid w:val="00F562BD"/>
    <w:rsid w:val="00F60495"/>
    <w:rsid w:val="00F65358"/>
    <w:rsid w:val="00F7077F"/>
    <w:rsid w:val="00F7295A"/>
    <w:rsid w:val="00F75EAE"/>
    <w:rsid w:val="00F770C3"/>
    <w:rsid w:val="00F82B77"/>
    <w:rsid w:val="00F967E5"/>
    <w:rsid w:val="00FA4C1B"/>
    <w:rsid w:val="00FA64BC"/>
    <w:rsid w:val="00FB254C"/>
    <w:rsid w:val="00FB4324"/>
    <w:rsid w:val="00FD23EB"/>
    <w:rsid w:val="00FD2836"/>
    <w:rsid w:val="00FD29F4"/>
    <w:rsid w:val="00FD6963"/>
    <w:rsid w:val="00FF2BCD"/>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60905"/>
  <w15:docId w15:val="{72F3BD1A-2190-4C2F-9512-D4B3677C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9615D"/>
    <w:pPr>
      <w:spacing w:before="100" w:beforeAutospacing="1" w:after="100" w:afterAutospacing="1"/>
      <w:outlineLvl w:val="0"/>
    </w:pPr>
    <w:rPr>
      <w:rFonts w:eastAsia="Times New Roman"/>
      <w:b/>
      <w:bCs/>
      <w:kern w:val="36"/>
      <w:sz w:val="48"/>
      <w:szCs w:val="48"/>
      <w:lang w:val="en-US" w:eastAsia="en-US"/>
    </w:rPr>
  </w:style>
  <w:style w:type="paragraph" w:styleId="2">
    <w:name w:val="heading 2"/>
    <w:basedOn w:val="a"/>
    <w:next w:val="a"/>
    <w:link w:val="20"/>
    <w:uiPriority w:val="9"/>
    <w:semiHidden/>
    <w:unhideWhenUsed/>
    <w:qFormat/>
    <w:rsid w:val="00920E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5751"/>
    <w:rPr>
      <w:color w:val="0000FF" w:themeColor="hyperlink"/>
      <w:u w:val="single"/>
    </w:rPr>
  </w:style>
  <w:style w:type="character" w:customStyle="1" w:styleId="Subst">
    <w:name w:val="Subst"/>
    <w:uiPriority w:val="99"/>
    <w:rsid w:val="00685B1F"/>
    <w:rPr>
      <w:b/>
      <w:i/>
    </w:rPr>
  </w:style>
  <w:style w:type="paragraph" w:customStyle="1" w:styleId="SubHeading">
    <w:name w:val="Sub Heading"/>
    <w:uiPriority w:val="99"/>
    <w:rsid w:val="00685B1F"/>
    <w:pPr>
      <w:widowControl w:val="0"/>
      <w:autoSpaceDE w:val="0"/>
      <w:autoSpaceDN w:val="0"/>
      <w:adjustRightInd w:val="0"/>
      <w:spacing w:before="240" w:after="40"/>
    </w:pPr>
    <w:rPr>
      <w:sz w:val="20"/>
      <w:szCs w:val="20"/>
    </w:rPr>
  </w:style>
  <w:style w:type="character" w:styleId="a4">
    <w:name w:val="Strong"/>
    <w:basedOn w:val="a0"/>
    <w:uiPriority w:val="22"/>
    <w:qFormat/>
    <w:rsid w:val="00A04460"/>
    <w:rPr>
      <w:b/>
      <w:bCs/>
    </w:rPr>
  </w:style>
  <w:style w:type="paragraph" w:styleId="a5">
    <w:name w:val="Balloon Text"/>
    <w:basedOn w:val="a"/>
    <w:link w:val="a6"/>
    <w:uiPriority w:val="99"/>
    <w:semiHidden/>
    <w:unhideWhenUsed/>
    <w:rsid w:val="00842AA9"/>
    <w:rPr>
      <w:rFonts w:ascii="Tahoma" w:hAnsi="Tahoma" w:cs="Tahoma"/>
      <w:sz w:val="16"/>
      <w:szCs w:val="16"/>
    </w:rPr>
  </w:style>
  <w:style w:type="character" w:customStyle="1" w:styleId="a6">
    <w:name w:val="Текст выноски Знак"/>
    <w:basedOn w:val="a0"/>
    <w:link w:val="a5"/>
    <w:uiPriority w:val="99"/>
    <w:semiHidden/>
    <w:rsid w:val="00842AA9"/>
    <w:rPr>
      <w:rFonts w:ascii="Tahoma" w:hAnsi="Tahoma" w:cs="Tahoma"/>
      <w:sz w:val="16"/>
      <w:szCs w:val="16"/>
    </w:rPr>
  </w:style>
  <w:style w:type="character" w:styleId="a7">
    <w:name w:val="annotation reference"/>
    <w:basedOn w:val="a0"/>
    <w:uiPriority w:val="99"/>
    <w:semiHidden/>
    <w:unhideWhenUsed/>
    <w:rsid w:val="00B22C67"/>
    <w:rPr>
      <w:sz w:val="16"/>
      <w:szCs w:val="16"/>
    </w:rPr>
  </w:style>
  <w:style w:type="paragraph" w:styleId="a8">
    <w:name w:val="annotation text"/>
    <w:basedOn w:val="a"/>
    <w:link w:val="a9"/>
    <w:uiPriority w:val="99"/>
    <w:semiHidden/>
    <w:unhideWhenUsed/>
    <w:rsid w:val="00B22C67"/>
    <w:rPr>
      <w:sz w:val="20"/>
      <w:szCs w:val="20"/>
    </w:rPr>
  </w:style>
  <w:style w:type="character" w:customStyle="1" w:styleId="a9">
    <w:name w:val="Текст примечания Знак"/>
    <w:basedOn w:val="a0"/>
    <w:link w:val="a8"/>
    <w:uiPriority w:val="99"/>
    <w:semiHidden/>
    <w:rsid w:val="00B22C67"/>
    <w:rPr>
      <w:sz w:val="20"/>
      <w:szCs w:val="20"/>
    </w:rPr>
  </w:style>
  <w:style w:type="paragraph" w:styleId="aa">
    <w:name w:val="annotation subject"/>
    <w:basedOn w:val="a8"/>
    <w:next w:val="a8"/>
    <w:link w:val="ab"/>
    <w:uiPriority w:val="99"/>
    <w:semiHidden/>
    <w:unhideWhenUsed/>
    <w:rsid w:val="00B22C67"/>
    <w:rPr>
      <w:b/>
      <w:bCs/>
    </w:rPr>
  </w:style>
  <w:style w:type="character" w:customStyle="1" w:styleId="ab">
    <w:name w:val="Тема примечания Знак"/>
    <w:basedOn w:val="a9"/>
    <w:link w:val="aa"/>
    <w:uiPriority w:val="99"/>
    <w:semiHidden/>
    <w:rsid w:val="00B22C67"/>
    <w:rPr>
      <w:b/>
      <w:bCs/>
      <w:sz w:val="20"/>
      <w:szCs w:val="20"/>
    </w:rPr>
  </w:style>
  <w:style w:type="paragraph" w:styleId="ac">
    <w:name w:val="List Paragraph"/>
    <w:basedOn w:val="a"/>
    <w:uiPriority w:val="34"/>
    <w:qFormat/>
    <w:rsid w:val="003344DC"/>
    <w:pPr>
      <w:ind w:left="720"/>
      <w:contextualSpacing/>
    </w:pPr>
  </w:style>
  <w:style w:type="paragraph" w:styleId="ad">
    <w:name w:val="header"/>
    <w:basedOn w:val="a"/>
    <w:link w:val="ae"/>
    <w:uiPriority w:val="99"/>
    <w:unhideWhenUsed/>
    <w:rsid w:val="00DA583A"/>
    <w:pPr>
      <w:tabs>
        <w:tab w:val="center" w:pos="4677"/>
        <w:tab w:val="right" w:pos="9355"/>
      </w:tabs>
    </w:pPr>
  </w:style>
  <w:style w:type="character" w:customStyle="1" w:styleId="ae">
    <w:name w:val="Верхний колонтитул Знак"/>
    <w:basedOn w:val="a0"/>
    <w:link w:val="ad"/>
    <w:uiPriority w:val="99"/>
    <w:rsid w:val="00DA583A"/>
  </w:style>
  <w:style w:type="paragraph" w:styleId="af">
    <w:name w:val="footer"/>
    <w:basedOn w:val="a"/>
    <w:link w:val="af0"/>
    <w:uiPriority w:val="99"/>
    <w:unhideWhenUsed/>
    <w:rsid w:val="00DA583A"/>
    <w:pPr>
      <w:tabs>
        <w:tab w:val="center" w:pos="4677"/>
        <w:tab w:val="right" w:pos="9355"/>
      </w:tabs>
    </w:pPr>
  </w:style>
  <w:style w:type="character" w:customStyle="1" w:styleId="af0">
    <w:name w:val="Нижний колонтитул Знак"/>
    <w:basedOn w:val="a0"/>
    <w:link w:val="af"/>
    <w:uiPriority w:val="99"/>
    <w:rsid w:val="00DA583A"/>
  </w:style>
  <w:style w:type="paragraph" w:customStyle="1" w:styleId="ThinDelim">
    <w:name w:val="Thin Delim"/>
    <w:uiPriority w:val="99"/>
    <w:rsid w:val="00853D47"/>
    <w:pPr>
      <w:widowControl w:val="0"/>
      <w:autoSpaceDE w:val="0"/>
      <w:autoSpaceDN w:val="0"/>
      <w:adjustRightInd w:val="0"/>
    </w:pPr>
    <w:rPr>
      <w:sz w:val="16"/>
      <w:szCs w:val="16"/>
    </w:rPr>
  </w:style>
  <w:style w:type="paragraph" w:customStyle="1" w:styleId="Default">
    <w:name w:val="Default"/>
    <w:rsid w:val="004820FC"/>
    <w:pPr>
      <w:autoSpaceDE w:val="0"/>
      <w:autoSpaceDN w:val="0"/>
      <w:adjustRightInd w:val="0"/>
    </w:pPr>
    <w:rPr>
      <w:color w:val="000000"/>
      <w:sz w:val="24"/>
      <w:szCs w:val="24"/>
    </w:rPr>
  </w:style>
  <w:style w:type="paragraph" w:styleId="af1">
    <w:name w:val="Normal (Web)"/>
    <w:basedOn w:val="a"/>
    <w:uiPriority w:val="99"/>
    <w:semiHidden/>
    <w:unhideWhenUsed/>
    <w:rsid w:val="00587E40"/>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49615D"/>
    <w:rPr>
      <w:rFonts w:eastAsia="Times New Roman"/>
      <w:b/>
      <w:bCs/>
      <w:kern w:val="36"/>
      <w:sz w:val="48"/>
      <w:szCs w:val="48"/>
      <w:lang w:val="en-US" w:eastAsia="en-US"/>
    </w:rPr>
  </w:style>
  <w:style w:type="character" w:customStyle="1" w:styleId="20">
    <w:name w:val="Заголовок 2 Знак"/>
    <w:basedOn w:val="a0"/>
    <w:link w:val="2"/>
    <w:uiPriority w:val="9"/>
    <w:semiHidden/>
    <w:rsid w:val="00920E22"/>
    <w:rPr>
      <w:rFonts w:asciiTheme="majorHAnsi" w:eastAsiaTheme="majorEastAsia" w:hAnsiTheme="majorHAnsi" w:cstheme="majorBidi"/>
      <w:color w:val="365F91" w:themeColor="accent1" w:themeShade="BF"/>
      <w:sz w:val="26"/>
      <w:szCs w:val="26"/>
    </w:rPr>
  </w:style>
  <w:style w:type="paragraph" w:styleId="af2">
    <w:name w:val="Subtitle"/>
    <w:basedOn w:val="a"/>
    <w:next w:val="a"/>
    <w:link w:val="af3"/>
    <w:uiPriority w:val="11"/>
    <w:qFormat/>
    <w:rsid w:val="00920E22"/>
    <w:pPr>
      <w:autoSpaceDE w:val="0"/>
      <w:autoSpaceDN w:val="0"/>
      <w:spacing w:after="60"/>
      <w:jc w:val="center"/>
      <w:outlineLvl w:val="1"/>
    </w:pPr>
    <w:rPr>
      <w:rFonts w:ascii="Calibri Light" w:eastAsia="Times New Roman" w:hAnsi="Calibri Light"/>
      <w:sz w:val="24"/>
      <w:szCs w:val="24"/>
    </w:rPr>
  </w:style>
  <w:style w:type="character" w:customStyle="1" w:styleId="af3">
    <w:name w:val="Подзаголовок Знак"/>
    <w:basedOn w:val="a0"/>
    <w:link w:val="af2"/>
    <w:uiPriority w:val="11"/>
    <w:rsid w:val="00920E22"/>
    <w:rPr>
      <w:rFonts w:ascii="Calibri Light" w:eastAsia="Times New Roman" w:hAnsi="Calibri Light"/>
      <w:sz w:val="24"/>
      <w:szCs w:val="24"/>
    </w:rPr>
  </w:style>
  <w:style w:type="character" w:styleId="af4">
    <w:name w:val="footnote reference"/>
    <w:basedOn w:val="a0"/>
    <w:uiPriority w:val="99"/>
    <w:rsid w:val="00E87249"/>
    <w:rPr>
      <w:rFonts w:cs="Times New Roman"/>
      <w:vertAlign w:val="superscript"/>
    </w:rPr>
  </w:style>
  <w:style w:type="paragraph" w:customStyle="1" w:styleId="ConsPlusNormal">
    <w:name w:val="ConsPlusNormal"/>
    <w:rsid w:val="007E7059"/>
    <w:pPr>
      <w:widowControl w:val="0"/>
      <w:autoSpaceDE w:val="0"/>
      <w:autoSpaceDN w:val="0"/>
    </w:pPr>
    <w:rPr>
      <w:rFonts w:ascii="Arial" w:eastAsia="Times New Roman" w:hAnsi="Arial" w:cs="Arial"/>
      <w:sz w:val="20"/>
    </w:rPr>
  </w:style>
  <w:style w:type="character" w:styleId="af5">
    <w:name w:val="Unresolved Mention"/>
    <w:basedOn w:val="a0"/>
    <w:uiPriority w:val="99"/>
    <w:semiHidden/>
    <w:unhideWhenUsed/>
    <w:rsid w:val="00F7077F"/>
    <w:rPr>
      <w:color w:val="605E5C"/>
      <w:shd w:val="clear" w:color="auto" w:fill="E1DFDD"/>
    </w:rPr>
  </w:style>
  <w:style w:type="character" w:customStyle="1" w:styleId="SubtitleChar13">
    <w:name w:val="Subtitle Char13"/>
    <w:basedOn w:val="a0"/>
    <w:uiPriority w:val="11"/>
    <w:locked/>
    <w:rsid w:val="00B77BAE"/>
    <w:rPr>
      <w:rFonts w:ascii="Calibri Light" w:hAnsi="Calibri Light" w:cs="Times New Roman"/>
      <w:sz w:val="24"/>
    </w:rPr>
  </w:style>
  <w:style w:type="character" w:customStyle="1" w:styleId="SubtitleChar9">
    <w:name w:val="Subtitle Char9"/>
    <w:basedOn w:val="a0"/>
    <w:uiPriority w:val="11"/>
    <w:locked/>
    <w:rsid w:val="002A4244"/>
    <w:rPr>
      <w:rFonts w:ascii="Calibri Light" w:hAnsi="Calibri Light" w:cs="Times New Roman"/>
      <w:sz w:val="24"/>
    </w:rPr>
  </w:style>
  <w:style w:type="paragraph" w:styleId="af6">
    <w:name w:val="Revision"/>
    <w:hidden/>
    <w:uiPriority w:val="99"/>
    <w:semiHidden/>
    <w:rsid w:val="00FB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7094">
      <w:bodyDiv w:val="1"/>
      <w:marLeft w:val="0"/>
      <w:marRight w:val="0"/>
      <w:marTop w:val="0"/>
      <w:marBottom w:val="0"/>
      <w:divBdr>
        <w:top w:val="none" w:sz="0" w:space="0" w:color="auto"/>
        <w:left w:val="none" w:sz="0" w:space="0" w:color="auto"/>
        <w:bottom w:val="none" w:sz="0" w:space="0" w:color="auto"/>
        <w:right w:val="none" w:sz="0" w:space="0" w:color="auto"/>
      </w:divBdr>
    </w:div>
    <w:div w:id="528957509">
      <w:bodyDiv w:val="1"/>
      <w:marLeft w:val="0"/>
      <w:marRight w:val="0"/>
      <w:marTop w:val="0"/>
      <w:marBottom w:val="0"/>
      <w:divBdr>
        <w:top w:val="none" w:sz="0" w:space="0" w:color="auto"/>
        <w:left w:val="none" w:sz="0" w:space="0" w:color="auto"/>
        <w:bottom w:val="none" w:sz="0" w:space="0" w:color="auto"/>
        <w:right w:val="none" w:sz="0" w:space="0" w:color="auto"/>
      </w:divBdr>
    </w:div>
    <w:div w:id="639699237">
      <w:bodyDiv w:val="1"/>
      <w:marLeft w:val="0"/>
      <w:marRight w:val="0"/>
      <w:marTop w:val="0"/>
      <w:marBottom w:val="0"/>
      <w:divBdr>
        <w:top w:val="none" w:sz="0" w:space="0" w:color="auto"/>
        <w:left w:val="none" w:sz="0" w:space="0" w:color="auto"/>
        <w:bottom w:val="none" w:sz="0" w:space="0" w:color="auto"/>
        <w:right w:val="none" w:sz="0" w:space="0" w:color="auto"/>
      </w:divBdr>
    </w:div>
    <w:div w:id="869414904">
      <w:bodyDiv w:val="1"/>
      <w:marLeft w:val="0"/>
      <w:marRight w:val="0"/>
      <w:marTop w:val="0"/>
      <w:marBottom w:val="0"/>
      <w:divBdr>
        <w:top w:val="none" w:sz="0" w:space="0" w:color="auto"/>
        <w:left w:val="none" w:sz="0" w:space="0" w:color="auto"/>
        <w:bottom w:val="none" w:sz="0" w:space="0" w:color="auto"/>
        <w:right w:val="none" w:sz="0" w:space="0" w:color="auto"/>
      </w:divBdr>
    </w:div>
    <w:div w:id="1378774271">
      <w:bodyDiv w:val="1"/>
      <w:marLeft w:val="0"/>
      <w:marRight w:val="0"/>
      <w:marTop w:val="0"/>
      <w:marBottom w:val="0"/>
      <w:divBdr>
        <w:top w:val="none" w:sz="0" w:space="0" w:color="auto"/>
        <w:left w:val="none" w:sz="0" w:space="0" w:color="auto"/>
        <w:bottom w:val="none" w:sz="0" w:space="0" w:color="auto"/>
        <w:right w:val="none" w:sz="0" w:space="0" w:color="auto"/>
      </w:divBdr>
    </w:div>
    <w:div w:id="1615166959">
      <w:bodyDiv w:val="1"/>
      <w:marLeft w:val="0"/>
      <w:marRight w:val="0"/>
      <w:marTop w:val="0"/>
      <w:marBottom w:val="0"/>
      <w:divBdr>
        <w:top w:val="none" w:sz="0" w:space="0" w:color="auto"/>
        <w:left w:val="none" w:sz="0" w:space="0" w:color="auto"/>
        <w:bottom w:val="none" w:sz="0" w:space="0" w:color="auto"/>
        <w:right w:val="none" w:sz="0" w:space="0" w:color="auto"/>
      </w:divBdr>
    </w:div>
    <w:div w:id="20794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consult-spb.ru" TargetMode="External"/><Relationship Id="rId3" Type="http://schemas.openxmlformats.org/officeDocument/2006/relationships/settings" Target="settings.xml"/><Relationship Id="rId7" Type="http://schemas.openxmlformats.org/officeDocument/2006/relationships/hyperlink" Target="http://www.e-disclosure.ru/portal/company.aspx?id=37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6298</Words>
  <Characters>35903</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Ovcharova Marina M.</cp:lastModifiedBy>
  <cp:revision>4</cp:revision>
  <cp:lastPrinted>2016-07-13T10:55:00Z</cp:lastPrinted>
  <dcterms:created xsi:type="dcterms:W3CDTF">2024-12-16T13:29:00Z</dcterms:created>
  <dcterms:modified xsi:type="dcterms:W3CDTF">2024-12-16T13:36:00Z</dcterms:modified>
</cp:coreProperties>
</file>