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5E3DCA">
        <w:tc>
          <w:tcPr>
            <w:tcW w:w="10234" w:type="dxa"/>
            <w:gridSpan w:val="2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ООО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EF62E4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5067847510418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7842345591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5E3DCA">
              <w:rPr>
                <w:b/>
                <w:i/>
              </w:rPr>
              <w:t>00342-</w:t>
            </w:r>
            <w:r w:rsidRPr="005E3DCA">
              <w:rPr>
                <w:b/>
                <w:i/>
                <w:lang w:val="en-US"/>
              </w:rPr>
              <w:t>R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5E3DCA" w:rsidRDefault="00763FF7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9" w:history="1">
              <w:r w:rsidR="008736E7" w:rsidRPr="005E3DCA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5E3DCA" w:rsidRDefault="00EF62E4" w:rsidP="00EF62E4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http://finconsult-spb.ru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5D244F">
            <w:pPr>
              <w:ind w:right="57"/>
              <w:rPr>
                <w:sz w:val="22"/>
                <w:szCs w:val="22"/>
              </w:rPr>
            </w:pPr>
            <w:r w:rsidRPr="005E3DCA">
              <w:rPr>
                <w:b/>
                <w:i/>
              </w:rPr>
              <w:t xml:space="preserve"> </w:t>
            </w:r>
            <w:r w:rsidR="005D244F" w:rsidRPr="005E3DCA">
              <w:rPr>
                <w:b/>
                <w:i/>
              </w:rPr>
              <w:t xml:space="preserve">02 февраля </w:t>
            </w:r>
            <w:r w:rsidRPr="005E3DCA">
              <w:rPr>
                <w:b/>
                <w:i/>
              </w:rPr>
              <w:t>2021 года</w:t>
            </w:r>
          </w:p>
        </w:tc>
      </w:tr>
    </w:tbl>
    <w:p w:rsidR="00D15FF6" w:rsidRPr="005E3DCA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5E3DCA" w:rsidTr="00653C06">
        <w:tc>
          <w:tcPr>
            <w:tcW w:w="10206" w:type="dxa"/>
          </w:tcPr>
          <w:p w:rsidR="00D15FF6" w:rsidRPr="005E3DCA" w:rsidRDefault="00D15FF6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5E3DCA" w:rsidTr="00653C06">
        <w:tc>
          <w:tcPr>
            <w:tcW w:w="10206" w:type="dxa"/>
          </w:tcPr>
          <w:p w:rsidR="000133F3" w:rsidRPr="005E3DCA" w:rsidRDefault="000133F3" w:rsidP="000133F3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5E3DCA" w:rsidRDefault="000133F3" w:rsidP="000133F3">
            <w:pPr>
              <w:adjustRightInd w:val="0"/>
              <w:ind w:left="114" w:right="255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 xml:space="preserve"> 2.2. Категория сделки: </w:t>
            </w:r>
            <w:r w:rsidR="005D244F" w:rsidRPr="005E3DCA">
              <w:rPr>
                <w:b/>
                <w:i/>
                <w:sz w:val="22"/>
                <w:szCs w:val="22"/>
              </w:rPr>
              <w:t>существенная сделка</w:t>
            </w:r>
            <w:r w:rsidR="00E70A40" w:rsidRPr="005E3DCA">
              <w:rPr>
                <w:b/>
                <w:i/>
                <w:sz w:val="22"/>
                <w:szCs w:val="22"/>
              </w:rPr>
              <w:t xml:space="preserve"> (взаимосвязанные сделки)</w:t>
            </w:r>
          </w:p>
          <w:p w:rsidR="000133F3" w:rsidRPr="005E3DCA" w:rsidRDefault="000133F3" w:rsidP="000133F3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2.3.1.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</w:t>
            </w:r>
            <w:r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 уступки прав (требований) № ФК-З2/015 от 02.02.2021 г.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proofErr w:type="gramStart"/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 «ПС-Консалтинг»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передает (уступает) 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 ограниченной ответственностью «ФИНКОНСАЛТ»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далее -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й)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а Цессионарий принимает все принадлежащие Цеденту как кредитору права (требования) в полном объеме по отношению к должнику - к Обществу с ограниченной ответственностью «Восток Инжиниринг» (ООО «Восток Инжиниринг»), (далее – «Должник»), вытекающие   из   обязательств   по договору № 106-З2/003 от 28.02.2018,  заключенному Цедентом (в качестве займодавца) с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Должником (в </w:t>
            </w:r>
            <w:proofErr w:type="gramStart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качестве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заемщика).</w:t>
            </w:r>
          </w:p>
          <w:p w:rsidR="005E7651" w:rsidRPr="005E3DCA" w:rsidRDefault="005E7651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9130B0" w:rsidRPr="005E3DCA" w:rsidRDefault="005E7651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2.3.2. 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</w:t>
            </w:r>
            <w:r w:rsidR="009130B0"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 уступки прав (требований) № ФК-З2/01</w:t>
            </w:r>
            <w:r w:rsidR="005E7F0B"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6</w:t>
            </w:r>
            <w:r w:rsidR="009130B0"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от 02.02.2021 г.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proofErr w:type="gramStart"/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 «ПС-Консалтинг»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передает (уступает) Обществ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 ограниченной ответственностью «ФИНКОНСАЛТ»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й)</w:t>
            </w:r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а Цессионарий принимает все принадлежащие Цеденту как кредитору права (требования) в полном объеме по отношению к должнику - к Обществу с ограниченной ответственностью «Восток Инжиниринг» (ООО «Восток Инжиниринг»), (далее – «Должник»), вытекающие   из   обязательств   по договору № 106-З2/</w:t>
            </w:r>
            <w:r w:rsidR="005E7F0B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011</w:t>
            </w:r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от </w:t>
            </w:r>
            <w:r w:rsidR="005E7F0B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06.03.2019</w:t>
            </w:r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  заключенному Цедентом (в качестве займодавца) с</w:t>
            </w:r>
            <w:proofErr w:type="gramEnd"/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Должником (в </w:t>
            </w:r>
            <w:proofErr w:type="gramStart"/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качестве</w:t>
            </w:r>
            <w:proofErr w:type="gramEnd"/>
            <w:r w:rsidR="009130B0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заемщика).</w:t>
            </w: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2.3.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Вид сделки: </w:t>
            </w:r>
            <w:r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 уступки прав (требований) № ФК-З2/017 от 02.02.2021 г.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proofErr w:type="gramStart"/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 «ПС-Консалтинг»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передает (уступает) Обществ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 ограниченной ответственностью «ФИНКОНСАЛТ»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</w:t>
            </w:r>
            <w:r w:rsid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й)</w:t>
            </w:r>
            <w:r w:rsidR="005E3DC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а Цессионарий принимает все принадлежащие Цеденту как кредитору права (требования) в полном объеме по отношению к должнику - к Обществу с ограниченной ответственностью «</w:t>
            </w:r>
            <w:proofErr w:type="spellStart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Краснокаменский</w:t>
            </w:r>
            <w:proofErr w:type="spell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гидрометаллургический комбинат» (ООО «КГМК»), (далее – «Должник»), вытекающие   из   обязательств   по договору № 106-З2/004 от 01.03.2018,  заключенному Цедентом (в качестве займодавца) с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Должником (в </w:t>
            </w:r>
            <w:proofErr w:type="gramStart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качестве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заемщика).</w:t>
            </w:r>
          </w:p>
          <w:p w:rsidR="005E7651" w:rsidRPr="005E3DCA" w:rsidRDefault="005E7651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0133F3" w:rsidRPr="005E3DCA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5E7651" w:rsidRPr="005E3DCA" w:rsidRDefault="005E7651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.1. </w:t>
            </w:r>
            <w:r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 уступки прав (требований) № ФК-З2/015 от 02.02.2021 г.</w:t>
            </w:r>
            <w:r w:rsidRPr="005E3D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 Цедент передает (уступает) Цессионарию, а Цессионарий принимает все принадлежащие Цеденту как кредитору права (требования) в полном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объеме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по отношению к должнику - к Обществу с ограниченной ответственностью «Восток Инжиниринг» (ООО «Восток Инжиниринг»), имеющему следующие реквизиты: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 xml:space="preserve">ОГРН 1137746597779, ИНН 7705544740, КПП 142201001, адрес юридического лица: 678480, Республика Саха (Якутия), </w:t>
            </w:r>
            <w:proofErr w:type="spellStart"/>
            <w:r w:rsidRPr="005E3DCA">
              <w:rPr>
                <w:b/>
                <w:i/>
                <w:sz w:val="22"/>
                <w:szCs w:val="22"/>
              </w:rPr>
              <w:t>Оленекский</w:t>
            </w:r>
            <w:proofErr w:type="spellEnd"/>
            <w:r w:rsidRPr="005E3DCA">
              <w:rPr>
                <w:b/>
                <w:i/>
                <w:sz w:val="22"/>
                <w:szCs w:val="22"/>
              </w:rPr>
              <w:t xml:space="preserve"> эвенкийский национальный улус, село Оленек, ул. Октябрьская, дом 20, кабинет 103 (далее – «Должник»), вытекающие   из   обязательств   по договору № 106-З2/003 от 28.02.2018,  заключенному Цедентом (в качестве займодавца) с Должником (в качестве заемщика), с учетом изменений и дополнений к вышеуказанному договору, внесенных дополнительными соглашениями, заключенными Цедентом с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Должником (указанный договор со всеми изменениями и дополнениями далее  по тексту – «Договор займа») и факта передачи Цедентом Должнику денежных средств по Договору займа (далее все </w:t>
            </w:r>
            <w:r w:rsidRPr="005E3DCA">
              <w:rPr>
                <w:b/>
                <w:i/>
                <w:sz w:val="22"/>
                <w:szCs w:val="22"/>
              </w:rPr>
              <w:lastRenderedPageBreak/>
              <w:t>вместе – «Права (требования)»), в том числе Цедент уступает Цессионарию, а Цессионарий принимает следующие Права (требования) по Договору займа по отношению к Должнику: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1.1.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Права (требования) возврата суммы займа по Договору займа и уплаты процентов на сумму займа, начисленных по 02 февраля 2021 года включительно и не уплаченных Должником на дату заключения Договора, в общей сумме 2234224149,86 российского рубля (Два миллиарда двести тридцать четыре миллиона двести двадцать четыре тысячи сто сорок девять российских рублей 86 копеек) (НДС не облагается), включая:</w:t>
            </w:r>
            <w:proofErr w:type="gramEnd"/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1.1.1. Права (требования) возврата суммы займа по Договору займа в сумме 1928000000 (Один миллиард девятьсот двадцать восемь миллионов) российских рублей (НДС не облагается);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1.1.2. Права (требования) уплаты процентов на сумму займа, начисленных за период по 02 февраля</w:t>
            </w:r>
            <w:r w:rsidRPr="005E3DCA">
              <w:rPr>
                <w:b/>
                <w:i/>
                <w:sz w:val="22"/>
                <w:szCs w:val="22"/>
              </w:rPr>
              <w:fldChar w:fldCharType="begin"/>
            </w:r>
            <w:r w:rsidRPr="005E3DCA">
              <w:rPr>
                <w:b/>
                <w:i/>
                <w:sz w:val="22"/>
                <w:szCs w:val="22"/>
              </w:rPr>
              <w:instrText xml:space="preserve"> MERGEFIELD "Дата_соглашения_об_уступке_" </w:instrText>
            </w:r>
            <w:r w:rsidRPr="005E3DCA">
              <w:rPr>
                <w:b/>
                <w:i/>
                <w:sz w:val="22"/>
                <w:szCs w:val="22"/>
              </w:rPr>
              <w:fldChar w:fldCharType="separate"/>
            </w:r>
            <w:r w:rsidRPr="005E3DCA">
              <w:rPr>
                <w:b/>
                <w:i/>
                <w:sz w:val="22"/>
                <w:szCs w:val="22"/>
              </w:rPr>
              <w:t xml:space="preserve"> 20</w:t>
            </w:r>
            <w:r w:rsidRPr="005E3DCA">
              <w:rPr>
                <w:b/>
                <w:i/>
                <w:sz w:val="22"/>
                <w:szCs w:val="22"/>
              </w:rPr>
              <w:fldChar w:fldCharType="end"/>
            </w:r>
            <w:r w:rsidRPr="005E3DCA">
              <w:rPr>
                <w:b/>
                <w:i/>
                <w:sz w:val="22"/>
                <w:szCs w:val="22"/>
              </w:rPr>
              <w:t>21 года включительно и не уплаченных Должником на дату заключения Договора, в общей сумме 306224149,86 российского рубля (Триста шесть миллионов двести двадцать четыре тысячи сто сорок девять российских рублей 86 копеек) (НДС не облагается);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1.2. Права (требования) уплаты процентов на сумму займа (невозвращенную часть суммы займа) по Договору займа, которые будут начислены после заключения Договора (за период с 03 февраля 2021 года по дату фактического возврата Должником суммы займа (невозвращенной части суммы займа));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1.3. Все другие, связанные с требованиями, права, вытекающие из Договора займа и/или предусмотренные законодательством Российской Федерации.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2. Цессионарий обязуется уплатить Цеденту плату за уступку Прав (требований) в сумме      2234224149,86 российского рубля (Два миллиарда двести тридцать четыре миллиона двести двадцать четыре тысячи сто сорок девять российских рублей 86 копеек) (НДС не облагается) (далее по текст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у–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«Плата за уступку Прав (требований))» в срок не позднее 17 февраля 2021 года.</w:t>
            </w:r>
          </w:p>
          <w:p w:rsidR="005E7651" w:rsidRPr="005E3DCA" w:rsidRDefault="005E7651" w:rsidP="005E3DCA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3.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В случае неисполнения, просрочки исполнения или иного ненадлежащего исполнения Цессионарием обязанности по уплате платежей в оплату Платы за уступку Прав (требований) (её части), Цессионарий обязуется уплатить Цеденту неустойку в виде пени в размере 0,02 % (Ноль целых две сотых процента) от суммы задолженности за каждый календарный день неисполнения, просрочки исполнения или иного ненадлежащего исполнения по день полного исполнения Цессионарием денежных обязательств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включительно.</w:t>
            </w:r>
          </w:p>
          <w:p w:rsidR="005E7651" w:rsidRPr="005E3DCA" w:rsidRDefault="005E7651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</w:p>
          <w:p w:rsidR="005E7651" w:rsidRPr="005E3DCA" w:rsidRDefault="005E7651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2.</w:t>
            </w:r>
            <w:r w:rsidRPr="005E3DCA">
              <w:rPr>
                <w:b/>
                <w:i/>
                <w:sz w:val="22"/>
                <w:szCs w:val="22"/>
              </w:rPr>
              <w:t>4</w:t>
            </w:r>
            <w:r w:rsidRPr="005E3DCA">
              <w:rPr>
                <w:b/>
                <w:i/>
                <w:sz w:val="22"/>
                <w:szCs w:val="22"/>
              </w:rPr>
              <w:t xml:space="preserve">.2. </w:t>
            </w:r>
            <w:r w:rsidRPr="005E3DCA">
              <w:rPr>
                <w:b/>
                <w:bCs/>
                <w:i/>
                <w:sz w:val="22"/>
                <w:szCs w:val="22"/>
              </w:rPr>
              <w:t>Договор уступки прав (требований) № ФК-З2/016 от 02.02.2021 г.</w:t>
            </w:r>
            <w:r w:rsidRPr="005E3DCA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5E7F0B" w:rsidRPr="005E3DCA" w:rsidRDefault="005C0D70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 </w:t>
            </w:r>
            <w:r w:rsidR="005E7F0B" w:rsidRPr="005E3DCA">
              <w:rPr>
                <w:b/>
                <w:i/>
                <w:sz w:val="22"/>
                <w:szCs w:val="22"/>
              </w:rPr>
              <w:t xml:space="preserve">Цедент передает (уступает) Цессионарию, а Цессионарий принимает все принадлежащие Цеденту как кредитору права (требования) в полном </w:t>
            </w:r>
            <w:proofErr w:type="gramStart"/>
            <w:r w:rsidR="005E7F0B" w:rsidRPr="005E3DCA">
              <w:rPr>
                <w:b/>
                <w:i/>
                <w:sz w:val="22"/>
                <w:szCs w:val="22"/>
              </w:rPr>
              <w:t>объеме</w:t>
            </w:r>
            <w:proofErr w:type="gramEnd"/>
            <w:r w:rsidR="005E7F0B" w:rsidRPr="005E3DCA">
              <w:rPr>
                <w:b/>
                <w:i/>
                <w:sz w:val="22"/>
                <w:szCs w:val="22"/>
              </w:rPr>
              <w:t xml:space="preserve"> по отношению к должнику - к Обществу с ограниченной ответственностью «Восток Инжиниринг» (ООО «Восток Инжиниринг»), имеющему следующие реквизиты: </w:t>
            </w:r>
            <w:proofErr w:type="gramStart"/>
            <w:r w:rsidR="005E7F0B" w:rsidRPr="005E3DCA">
              <w:rPr>
                <w:b/>
                <w:i/>
                <w:sz w:val="22"/>
                <w:szCs w:val="22"/>
              </w:rPr>
              <w:t xml:space="preserve">ОГРН 1137746597779, ИНН 7705544740, КПП 142201001, адрес юридического лица: 678480, Республика Саха (Якутия), </w:t>
            </w:r>
            <w:proofErr w:type="spellStart"/>
            <w:r w:rsidR="005E7F0B" w:rsidRPr="005E3DCA">
              <w:rPr>
                <w:b/>
                <w:i/>
                <w:sz w:val="22"/>
                <w:szCs w:val="22"/>
              </w:rPr>
              <w:t>Оленекский</w:t>
            </w:r>
            <w:proofErr w:type="spellEnd"/>
            <w:r w:rsidR="005E7F0B" w:rsidRPr="005E3DCA">
              <w:rPr>
                <w:b/>
                <w:i/>
                <w:sz w:val="22"/>
                <w:szCs w:val="22"/>
              </w:rPr>
              <w:t xml:space="preserve"> эвенкийский национальный улус, село Оленек, ул. Октябрьская, дом 20, кабинет 103 (далее – «Должник»), вытекающие   из   обязательств   по договору № 106-З2/011 от 06.03.2019,  заключенному Цедентом (в качестве займодавца) с Должником (в качестве заемщика), с учетом изменений и дополнений к вышеуказанному договору, внесенных дополнительными соглашениями, заключенными Цедентом с</w:t>
            </w:r>
            <w:proofErr w:type="gramEnd"/>
            <w:r w:rsidR="005E7F0B" w:rsidRPr="005E3DCA">
              <w:rPr>
                <w:b/>
                <w:i/>
                <w:sz w:val="22"/>
                <w:szCs w:val="22"/>
              </w:rPr>
              <w:t xml:space="preserve"> Должником (указанный договор со всеми изменениями и дополнениями далее  по тексту – «Договор займа») и факта передачи Цедентом Должнику денежных средств по Договору займа (далее все вместе – «Права (требования)»), в том числе Цедент уступает Цессионарию, а Цессионарий принимает следующие Права (требования) по Договору займа по отношению к Должнику:</w:t>
            </w:r>
          </w:p>
          <w:p w:rsidR="005E7F0B" w:rsidRPr="005E3DCA" w:rsidRDefault="005E7F0B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1.1.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Права (требования) возврата суммы займа по Договору займа и уплаты процентов на сумму займа, начисленных по 02 февраля 2021 года включительно и не уплаченных Должником на дату заключения Договора, в общей сумме 1148563268,92 российского рубля (Один миллиард сто сорок восемь миллионов пятьсот шестьдесят три тысячи двести шестьдесят восемь российских рублей 92 копейки) (НДС не облагается), включая:</w:t>
            </w:r>
            <w:proofErr w:type="gramEnd"/>
          </w:p>
          <w:p w:rsidR="005E7F0B" w:rsidRPr="005E3DCA" w:rsidRDefault="005E7F0B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1.1.1. Права (требования) возврата суммы займа по Договору займа в сумме 1060100000 (Один миллиард шестьдесят миллионов сто тысяч) российских рублей (НДС не облагается);</w:t>
            </w:r>
          </w:p>
          <w:p w:rsidR="005E7F0B" w:rsidRPr="005E3DCA" w:rsidRDefault="005E7F0B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1.1.2. Права (требования) уплаты процентов на сумму займа, начисленных за период по 02 февраля</w:t>
            </w:r>
            <w:r w:rsidRPr="005E3DCA">
              <w:rPr>
                <w:b/>
                <w:i/>
                <w:sz w:val="22"/>
                <w:szCs w:val="22"/>
              </w:rPr>
              <w:fldChar w:fldCharType="begin"/>
            </w:r>
            <w:r w:rsidRPr="005E3DCA">
              <w:rPr>
                <w:b/>
                <w:i/>
                <w:sz w:val="22"/>
                <w:szCs w:val="22"/>
              </w:rPr>
              <w:instrText xml:space="preserve"> MERGEFIELD "Дата_соглашения_об_уступке_" </w:instrText>
            </w:r>
            <w:r w:rsidRPr="005E3DCA">
              <w:rPr>
                <w:b/>
                <w:i/>
                <w:sz w:val="22"/>
                <w:szCs w:val="22"/>
              </w:rPr>
              <w:fldChar w:fldCharType="separate"/>
            </w:r>
            <w:r w:rsidRPr="005E3DCA">
              <w:rPr>
                <w:b/>
                <w:i/>
                <w:sz w:val="22"/>
                <w:szCs w:val="22"/>
              </w:rPr>
              <w:t xml:space="preserve"> 20</w:t>
            </w:r>
            <w:r w:rsidRPr="005E3DCA">
              <w:rPr>
                <w:b/>
                <w:i/>
                <w:sz w:val="22"/>
                <w:szCs w:val="22"/>
              </w:rPr>
              <w:fldChar w:fldCharType="end"/>
            </w:r>
            <w:r w:rsidRPr="005E3DCA">
              <w:rPr>
                <w:b/>
                <w:i/>
                <w:sz w:val="22"/>
                <w:szCs w:val="22"/>
              </w:rPr>
              <w:t>21 года включительно и не уплаченных Должником на дату заключения Договора, в общей сумме 88463268,92 российского рубля (Восемьдесят восемь миллионов четыреста шестьдесят три тысячи двести шестьдесят восемь российских рублей 92 копейки) (НДС не облагается);</w:t>
            </w:r>
          </w:p>
          <w:p w:rsidR="005E7F0B" w:rsidRPr="005E3DCA" w:rsidRDefault="005E7F0B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1.2. Права (требования) уплаты процентов на сумму займа (невозвращенную часть суммы займа) по Договору займа, которые будут начислены после заключения Договора (за период с 03 февраля 2021 года по дату фактического возврата Должником суммы займа (невозвращенной части суммы займа));</w:t>
            </w:r>
          </w:p>
          <w:p w:rsidR="005E7F0B" w:rsidRPr="005E3DCA" w:rsidRDefault="005E7F0B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1.3. Все другие, связанные с требованиями, права, вытекающие из Договора займа и/или предусмотренные законодательством Российской Федерации.</w:t>
            </w:r>
          </w:p>
          <w:p w:rsidR="005E7F0B" w:rsidRPr="005E3DCA" w:rsidRDefault="003A4FF1" w:rsidP="005E7F0B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2. </w:t>
            </w:r>
            <w:r w:rsidR="005E7F0B" w:rsidRPr="005E3DCA">
              <w:rPr>
                <w:b/>
                <w:i/>
                <w:sz w:val="22"/>
                <w:szCs w:val="22"/>
              </w:rPr>
              <w:t>Цессионарий обязуется уплатить Цеденту плату за уступку Прав (требований) в сумме      1148563268,92 российского рубля (Один миллиард сто сорок восемь миллионов пятьсот шестьдесят три тысячи двести шестьдесят восемь российских рублей 92 копейки) (НДС не облагается) (далее по тексту – «Плата за уступку Прав (требований))» в срок не позднее 17 февраля 2021 года.</w:t>
            </w:r>
          </w:p>
          <w:p w:rsidR="00E70A40" w:rsidRPr="005E3DCA" w:rsidRDefault="00E70A40" w:rsidP="00006CDF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3. </w:t>
            </w:r>
            <w:proofErr w:type="gramStart"/>
            <w:r w:rsidR="005E7F0B" w:rsidRPr="005E3DCA">
              <w:rPr>
                <w:b/>
                <w:i/>
                <w:sz w:val="22"/>
                <w:szCs w:val="22"/>
              </w:rPr>
              <w:t xml:space="preserve">В случае неисполнения, просрочки исполнения или иного ненадлежащего исполнения Цессионарием обязанности по уплате платежей в оплату Платы за уступку Прав (требований) (её части), Цессионарий обязуется уплатить Цеденту неустойку в виде пени в размере 0,02 % </w:t>
            </w:r>
            <w:r w:rsidR="005E7F0B" w:rsidRPr="005E3DCA">
              <w:rPr>
                <w:b/>
                <w:i/>
                <w:sz w:val="22"/>
                <w:szCs w:val="22"/>
              </w:rPr>
              <w:lastRenderedPageBreak/>
              <w:t>(Ноль целых две сотых процента) от суммы задолженности за каждый календарный день неисполнения, просрочки исполнения или иного ненадлежащего исполнения по день полного исполнения Цессионарием денежных обязательств</w:t>
            </w:r>
            <w:proofErr w:type="gramEnd"/>
            <w:r w:rsidR="005E7F0B" w:rsidRPr="005E3DCA">
              <w:rPr>
                <w:b/>
                <w:i/>
                <w:sz w:val="22"/>
                <w:szCs w:val="22"/>
              </w:rPr>
              <w:t xml:space="preserve"> включительно.</w:t>
            </w:r>
          </w:p>
          <w:p w:rsidR="005E7651" w:rsidRPr="005E3DCA" w:rsidRDefault="005E7651" w:rsidP="00006CDF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</w:p>
          <w:p w:rsidR="005E7651" w:rsidRPr="005E3DCA" w:rsidRDefault="005E7651" w:rsidP="00006CDF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bCs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2.</w:t>
            </w:r>
            <w:r w:rsidRPr="005E3DCA">
              <w:rPr>
                <w:b/>
                <w:i/>
                <w:sz w:val="22"/>
                <w:szCs w:val="22"/>
              </w:rPr>
              <w:t>4</w:t>
            </w:r>
            <w:r w:rsidRPr="005E3DCA">
              <w:rPr>
                <w:b/>
                <w:i/>
                <w:sz w:val="22"/>
                <w:szCs w:val="22"/>
              </w:rPr>
              <w:t xml:space="preserve">.3. </w:t>
            </w:r>
            <w:r w:rsidRPr="005E3DCA">
              <w:rPr>
                <w:b/>
                <w:bCs/>
                <w:i/>
                <w:sz w:val="22"/>
                <w:szCs w:val="22"/>
              </w:rPr>
              <w:t>Договор уступки прав (требований) № ФК-З2/017 от 02.02.2021 г.</w:t>
            </w:r>
            <w:r w:rsidRPr="005E3DCA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 Цедент передает (уступает) Цессионарию, а Цессионарий принимает все принадлежащие Цеденту как кредитору права (требования) в полном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объеме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по отношению к должнику - к Обществу с ограниченной ответственностью «</w:t>
            </w:r>
            <w:proofErr w:type="spellStart"/>
            <w:r w:rsidRPr="005E3DCA">
              <w:rPr>
                <w:b/>
                <w:i/>
                <w:sz w:val="22"/>
                <w:szCs w:val="22"/>
              </w:rPr>
              <w:t>Краснокаменский</w:t>
            </w:r>
            <w:proofErr w:type="spellEnd"/>
            <w:r w:rsidRPr="005E3DCA">
              <w:rPr>
                <w:b/>
                <w:i/>
                <w:sz w:val="22"/>
                <w:szCs w:val="22"/>
              </w:rPr>
              <w:t xml:space="preserve">  гидрометаллургический комбинат» (ООО «КГМК»), имеющему следующие реквизиты: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 xml:space="preserve">ОГРН 1157530000209, ИНН 7530014308, КПП 753001001, адрес юридического лица: 674673, край Забайкальский, район </w:t>
            </w:r>
            <w:proofErr w:type="spellStart"/>
            <w:r w:rsidRPr="005E3DCA">
              <w:rPr>
                <w:b/>
                <w:i/>
                <w:sz w:val="22"/>
                <w:szCs w:val="22"/>
              </w:rPr>
              <w:t>Краснокаменский</w:t>
            </w:r>
            <w:proofErr w:type="spellEnd"/>
            <w:r w:rsidRPr="005E3DCA">
              <w:rPr>
                <w:b/>
                <w:i/>
                <w:sz w:val="22"/>
                <w:szCs w:val="22"/>
              </w:rPr>
              <w:t xml:space="preserve">, город </w:t>
            </w:r>
            <w:proofErr w:type="spellStart"/>
            <w:r w:rsidRPr="005E3DCA">
              <w:rPr>
                <w:b/>
                <w:i/>
                <w:sz w:val="22"/>
                <w:szCs w:val="22"/>
              </w:rPr>
              <w:t>Краснокаменск</w:t>
            </w:r>
            <w:proofErr w:type="spellEnd"/>
            <w:r w:rsidRPr="005E3DCA">
              <w:rPr>
                <w:b/>
                <w:i/>
                <w:sz w:val="22"/>
                <w:szCs w:val="22"/>
              </w:rPr>
              <w:t>, проспект Строителей, дом 5, офис 27 (далее – «Должник»), вытекающие   из   обязательств   по договору № 106-З2/004 от 01.03.2018,  заключенному Цедентом (в качестве займодавца) с Должником (в качестве заемщика), с учетом изменений и дополнений к вышеуказанному договору, внесенных дополнительными соглашениями, заключенными Цедентом с Должником (указанный договор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со всеми изменениями и дополнениями далее  по тексту – «Договор займа») и факта передачи Цедентом Должнику денежных средств по Договору займа (далее все вместе – «Права (требования)»), в том числе Цедент уступает Цессионарию, а Цессионарий принимает следующие Права (требования) по Договору займа по отношению к Должнику: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1.1.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Права (требования) возврата невозвращенной части суммы займа по Договору займа и уплаты процентов на сумму займа (невозвращенную часть суммы займа), начисленных по 02 февраля 2021 года включительно и не уплаченных Должником на дату заключения Договора, в общей сумме 424864417,24 российского рубля (Четыреста двадцать четыре миллиона восемьсот шестьдесят четыре тысячи четыреста семнадцать российских рублей 24 копейки) (НДС не облагается), включая:</w:t>
            </w:r>
            <w:proofErr w:type="gramEnd"/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1.1.1. Права (требования) возврата невозвращенной части суммы займа по Договору займа в сумме </w:t>
            </w:r>
            <w:r w:rsidRPr="005E3DCA">
              <w:rPr>
                <w:b/>
                <w:bCs/>
                <w:i/>
                <w:sz w:val="22"/>
                <w:szCs w:val="22"/>
              </w:rPr>
              <w:t>382846038</w:t>
            </w:r>
            <w:r w:rsidRPr="005E3DCA">
              <w:rPr>
                <w:b/>
                <w:i/>
                <w:sz w:val="22"/>
                <w:szCs w:val="22"/>
              </w:rPr>
              <w:t xml:space="preserve"> (Триста восемьдесят два миллиона восемьсот сорок шесть тысяч тридцать восемь) российских рублей (НДС не облагается);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1.1.2. Права (требования) уплаты процентов на сумму займа (невозвращенную часть суммы займа), начисленных за период по 02 февраля</w:t>
            </w:r>
            <w:r w:rsidRPr="005E3DCA">
              <w:rPr>
                <w:b/>
                <w:i/>
                <w:sz w:val="22"/>
                <w:szCs w:val="22"/>
              </w:rPr>
              <w:fldChar w:fldCharType="begin"/>
            </w:r>
            <w:r w:rsidRPr="005E3DCA">
              <w:rPr>
                <w:b/>
                <w:i/>
                <w:sz w:val="22"/>
                <w:szCs w:val="22"/>
              </w:rPr>
              <w:instrText xml:space="preserve"> MERGEFIELD "Дата_соглашения_об_уступке_" </w:instrText>
            </w:r>
            <w:r w:rsidRPr="005E3DCA">
              <w:rPr>
                <w:b/>
                <w:i/>
                <w:sz w:val="22"/>
                <w:szCs w:val="22"/>
              </w:rPr>
              <w:fldChar w:fldCharType="separate"/>
            </w:r>
            <w:r w:rsidRPr="005E3DCA">
              <w:rPr>
                <w:b/>
                <w:i/>
                <w:sz w:val="22"/>
                <w:szCs w:val="22"/>
              </w:rPr>
              <w:t xml:space="preserve"> 20</w:t>
            </w:r>
            <w:r w:rsidRPr="005E3DCA">
              <w:rPr>
                <w:b/>
                <w:i/>
                <w:sz w:val="22"/>
                <w:szCs w:val="22"/>
              </w:rPr>
              <w:fldChar w:fldCharType="end"/>
            </w:r>
            <w:r w:rsidRPr="005E3DCA">
              <w:rPr>
                <w:b/>
                <w:i/>
                <w:sz w:val="22"/>
                <w:szCs w:val="22"/>
              </w:rPr>
              <w:t>21 года включительно и не уплаченных Должником на дату заключения Договора, в общей сумме 42018379,24 российского рубля (Сорок два миллиона восемнадцать тысяч триста семьдесят девять российских рублей 24 копейки) (НДС не облагается);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1.2. Права (требования) уплаты процентов на невозвращенную часть суммы займа по Договору займа, которые будут начислены после заключения Договора (за период с 03 февраля 2021 года по дату фактического возврата Должником суммы займа (невозвращенной части суммы займа));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1.3. Все другие, связанные с требованиями, права, вытекающие из Договора займа и/или предусмотренные законодательством Российской Федерации.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2. Цессионарий обязуется уплатить Цеденту плату за уступку Прав (требований) в сумме      424864417,24 российского рубля (Четыреста двадцать четыре миллиона восемьсот шестьдесят четыре тысячи четыреста семнадцать российских рублей 24 копейки) (НДС не облагается) (далее по тексту Договора – «Плата за уступку Прав (требований))» в срок не позднее 17 февраля 2021 года.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left="114" w:right="113" w:firstLine="45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3. </w:t>
            </w:r>
            <w:proofErr w:type="gramStart"/>
            <w:r w:rsidRPr="005E3DCA">
              <w:rPr>
                <w:b/>
                <w:i/>
                <w:sz w:val="22"/>
                <w:szCs w:val="22"/>
              </w:rPr>
              <w:t>В случае неисполнения, просрочки исполнения или иного ненадлежащего исполнения Цессионарием обязанности по уплате платежей в оплату Платы за уступку Прав (требований) (её части), Цессионарий обязуется уплатить Цеденту неустойку в виде пени в размере 0,02 % (Ноль целых две сотых процента) от суммы задолженности за каждый календарный день неисполнения, просрочки исполнения или иного ненадлежащего исполнения по день полного исполнения Цессионарием денежных обязательств</w:t>
            </w:r>
            <w:proofErr w:type="gramEnd"/>
            <w:r w:rsidRPr="005E3DCA">
              <w:rPr>
                <w:b/>
                <w:i/>
                <w:sz w:val="22"/>
                <w:szCs w:val="22"/>
              </w:rPr>
              <w:t xml:space="preserve"> включительно.</w:t>
            </w:r>
          </w:p>
          <w:p w:rsidR="005E7651" w:rsidRPr="005E3DCA" w:rsidRDefault="005E7651" w:rsidP="005E7651">
            <w:pPr>
              <w:tabs>
                <w:tab w:val="left" w:pos="4536"/>
              </w:tabs>
              <w:spacing w:line="220" w:lineRule="exact"/>
              <w:ind w:right="113"/>
              <w:jc w:val="both"/>
              <w:rPr>
                <w:b/>
                <w:i/>
                <w:sz w:val="22"/>
                <w:szCs w:val="22"/>
              </w:rPr>
            </w:pPr>
          </w:p>
          <w:p w:rsidR="000133F3" w:rsidRPr="005E3DCA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 xml:space="preserve">2.5. Срок исполнения обязательств по сделке, стороны и выгодоприобретатели по сделке, размер сделки в денежном </w:t>
            </w:r>
            <w:proofErr w:type="gramStart"/>
            <w:r w:rsidRPr="005E3DCA">
              <w:rPr>
                <w:sz w:val="22"/>
                <w:szCs w:val="22"/>
              </w:rPr>
              <w:t>выражении</w:t>
            </w:r>
            <w:proofErr w:type="gramEnd"/>
            <w:r w:rsidRPr="005E3DCA">
              <w:rPr>
                <w:sz w:val="22"/>
                <w:szCs w:val="22"/>
              </w:rPr>
              <w:t xml:space="preserve"> и в процентах от стоимости активов эмитента;</w:t>
            </w:r>
          </w:p>
          <w:p w:rsidR="000133F3" w:rsidRPr="005E3DCA" w:rsidRDefault="000133F3" w:rsidP="000133F3">
            <w:pPr>
              <w:pStyle w:val="a8"/>
              <w:tabs>
                <w:tab w:val="left" w:pos="539"/>
              </w:tabs>
              <w:suppressAutoHyphens/>
              <w:spacing w:after="0"/>
              <w:ind w:left="0" w:right="11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 xml:space="preserve">  Срок исполнения обязательств по сделке</w:t>
            </w:r>
            <w:r w:rsidR="005E7651" w:rsidRPr="005E3DCA">
              <w:rPr>
                <w:b/>
                <w:i/>
                <w:sz w:val="22"/>
                <w:szCs w:val="22"/>
              </w:rPr>
              <w:t xml:space="preserve"> (по </w:t>
            </w:r>
            <w:r w:rsidR="005E7651" w:rsidRPr="005E3DCA">
              <w:rPr>
                <w:b/>
                <w:i/>
                <w:sz w:val="22"/>
                <w:szCs w:val="22"/>
              </w:rPr>
              <w:t>тре</w:t>
            </w:r>
            <w:r w:rsidR="005E7651" w:rsidRPr="005E3DCA">
              <w:rPr>
                <w:b/>
                <w:i/>
                <w:sz w:val="22"/>
                <w:szCs w:val="22"/>
              </w:rPr>
              <w:t xml:space="preserve">м </w:t>
            </w:r>
            <w:r w:rsidR="005E7651" w:rsidRPr="005E3DCA">
              <w:rPr>
                <w:b/>
                <w:i/>
                <w:sz w:val="22"/>
                <w:szCs w:val="22"/>
              </w:rPr>
              <w:t>взаимосвязанны</w:t>
            </w:r>
            <w:r w:rsidR="005E7651" w:rsidRPr="005E3DCA">
              <w:rPr>
                <w:b/>
                <w:i/>
                <w:sz w:val="22"/>
                <w:szCs w:val="22"/>
              </w:rPr>
              <w:t>м</w:t>
            </w:r>
            <w:r w:rsidR="005E7651" w:rsidRPr="005E3DCA">
              <w:rPr>
                <w:b/>
                <w:i/>
                <w:sz w:val="22"/>
                <w:szCs w:val="22"/>
              </w:rPr>
              <w:t xml:space="preserve"> сдел</w:t>
            </w:r>
            <w:r w:rsidR="005E7651" w:rsidRPr="005E3DCA">
              <w:rPr>
                <w:b/>
                <w:i/>
                <w:sz w:val="22"/>
                <w:szCs w:val="22"/>
              </w:rPr>
              <w:t>кам)</w:t>
            </w:r>
            <w:r w:rsidRPr="005E3DCA">
              <w:rPr>
                <w:b/>
                <w:i/>
                <w:sz w:val="22"/>
                <w:szCs w:val="22"/>
              </w:rPr>
              <w:t xml:space="preserve">: </w:t>
            </w:r>
          </w:p>
          <w:p w:rsidR="000133F3" w:rsidRPr="005E3DCA" w:rsidRDefault="00701BC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Цессионарий обязуется уплатить Цеденту </w:t>
            </w:r>
            <w:r w:rsidR="00102B7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плату за уступку прав (требований) </w:t>
            </w:r>
            <w:r w:rsidR="000133F3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срок </w:t>
            </w:r>
            <w:r w:rsidR="00102B7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не позднее 17 февраля 2021 г.</w:t>
            </w:r>
          </w:p>
          <w:p w:rsidR="0007110E" w:rsidRPr="005E3DCA" w:rsidRDefault="000133F3" w:rsidP="005E7651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5E3DCA">
              <w:rPr>
                <w:b/>
                <w:i/>
                <w:sz w:val="22"/>
                <w:szCs w:val="22"/>
              </w:rPr>
              <w:t>Стороны по сделке</w:t>
            </w:r>
            <w:r w:rsidR="005E7651" w:rsidRPr="005E3DCA">
              <w:rPr>
                <w:b/>
                <w:i/>
                <w:sz w:val="22"/>
                <w:szCs w:val="22"/>
              </w:rPr>
              <w:t xml:space="preserve"> </w:t>
            </w:r>
            <w:r w:rsidR="005E7651" w:rsidRPr="005E3DCA">
              <w:rPr>
                <w:b/>
                <w:i/>
                <w:sz w:val="22"/>
                <w:szCs w:val="22"/>
              </w:rPr>
              <w:t xml:space="preserve">(по трем взаимосвязанным сделкам): </w:t>
            </w:r>
            <w:r w:rsidRPr="005E3DCA">
              <w:rPr>
                <w:b/>
                <w:i/>
                <w:sz w:val="22"/>
                <w:szCs w:val="22"/>
              </w:rPr>
              <w:br/>
            </w:r>
            <w:r w:rsidR="0007110E" w:rsidRPr="005E3DCA">
              <w:rPr>
                <w:b/>
                <w:i/>
                <w:sz w:val="22"/>
                <w:szCs w:val="22"/>
              </w:rPr>
              <w:t xml:space="preserve">Цедент: </w:t>
            </w:r>
            <w:r w:rsidR="005D244F" w:rsidRPr="005E3DCA">
              <w:rPr>
                <w:b/>
                <w:i/>
                <w:sz w:val="22"/>
                <w:szCs w:val="22"/>
              </w:rPr>
              <w:t>Общество с ограниченной ответственностью «ПС-Консалтинг»</w:t>
            </w:r>
            <w:r w:rsidR="0007110E" w:rsidRPr="005E3DCA">
              <w:rPr>
                <w:b/>
                <w:i/>
                <w:sz w:val="22"/>
                <w:szCs w:val="22"/>
              </w:rPr>
              <w:br/>
              <w:t xml:space="preserve">Цессионарий: </w:t>
            </w:r>
            <w:r w:rsidR="005D244F" w:rsidRPr="005E3DCA">
              <w:rPr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</w:p>
          <w:p w:rsidR="000133F3" w:rsidRPr="005E3DCA" w:rsidRDefault="000133F3" w:rsidP="005E7651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</w:t>
            </w:r>
            <w:proofErr w:type="gramStart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выражении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</w:p>
          <w:p w:rsidR="00C727E8" w:rsidRPr="005E3DCA" w:rsidRDefault="00C727E8" w:rsidP="00C727E8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Общий размер трех взаимосвязанных сделок (Договор уступки прав (требований) № ФК-З2/015 от 02.02.2021 г., Договор уступки прав (требований) № ФК-З2/016 от 02.02.2021 г., Договор уступки прав (требований) № ФК-З2/017 от 02.02.2021 г.) составляет 3 807 651 836,02 руб.</w:t>
            </w:r>
          </w:p>
          <w:p w:rsidR="000133F3" w:rsidRPr="005E3DCA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</w:t>
            </w:r>
            <w:proofErr w:type="gramStart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процентах</w:t>
            </w:r>
            <w:proofErr w:type="gramEnd"/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5E7651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от стоимости активов Эмитента: </w:t>
            </w:r>
          </w:p>
          <w:p w:rsidR="00C727E8" w:rsidRPr="005E3DCA" w:rsidRDefault="00C727E8" w:rsidP="00C727E8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Общий размер трех взаимосвязанных сделок (Договор уступки прав (требований) № ФК-З2/015 от 02.02.2021 г., Договор уступки прав (требований) № ФК-З2/016 от 02.02.2021 г., Договор уступки прав (требований) № ФК-З2/017 от 02.02.2021 г.) в процентах – 19% от балансовой стоимости активов Эмитента, по состоянию на 31.12.2020 г.</w:t>
            </w:r>
          </w:p>
          <w:p w:rsidR="000133F3" w:rsidRPr="005E3DCA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5E3DCA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20 029 899 951</w:t>
            </w:r>
            <w:r w:rsidR="008623BA" w:rsidRPr="005E3DCA">
              <w:rPr>
                <w:color w:val="002060"/>
              </w:rPr>
              <w:t xml:space="preserve">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5E3DCA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5D244F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02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5D244F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февраля 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8736E7"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5E3D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5E3DCA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3DCA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5E3DCA" w:rsidRDefault="005D244F" w:rsidP="005E3DCA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5E3DCA">
              <w:rPr>
                <w:b/>
                <w:i/>
                <w:sz w:val="22"/>
                <w:szCs w:val="22"/>
              </w:rPr>
              <w:t>Сделк</w:t>
            </w:r>
            <w:r w:rsidR="005E3DCA" w:rsidRPr="005E3DCA">
              <w:rPr>
                <w:b/>
                <w:i/>
                <w:sz w:val="22"/>
                <w:szCs w:val="22"/>
              </w:rPr>
              <w:t>а</w:t>
            </w:r>
            <w:r w:rsidRPr="005E3DCA">
              <w:rPr>
                <w:b/>
                <w:i/>
                <w:sz w:val="22"/>
                <w:szCs w:val="22"/>
              </w:rPr>
              <w:t xml:space="preserve"> не подлеж</w:t>
            </w:r>
            <w:r w:rsidR="005E3DCA" w:rsidRPr="005E3DCA">
              <w:rPr>
                <w:b/>
                <w:i/>
                <w:sz w:val="22"/>
                <w:szCs w:val="22"/>
              </w:rPr>
              <w:t>и</w:t>
            </w:r>
            <w:r w:rsidRPr="005E3DCA">
              <w:rPr>
                <w:b/>
                <w:i/>
                <w:sz w:val="22"/>
                <w:szCs w:val="22"/>
              </w:rPr>
              <w:t>т одобрению, так как согласно законодательству Российской Федерации и уставу Эмитента, не нужда</w:t>
            </w:r>
            <w:r w:rsidR="005E3DCA" w:rsidRPr="005E3DCA">
              <w:rPr>
                <w:b/>
                <w:i/>
                <w:sz w:val="22"/>
                <w:szCs w:val="22"/>
              </w:rPr>
              <w:t>е</w:t>
            </w:r>
            <w:r w:rsidRPr="005E3DCA">
              <w:rPr>
                <w:b/>
                <w:i/>
                <w:sz w:val="22"/>
                <w:szCs w:val="22"/>
              </w:rPr>
              <w:t>тся в одобрении как крупная сделка или сделка с заинтересованностью.</w:t>
            </w:r>
          </w:p>
        </w:tc>
      </w:tr>
    </w:tbl>
    <w:p w:rsidR="009A4E6C" w:rsidRPr="005E3DCA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5E3DCA">
        <w:trPr>
          <w:cantSplit/>
        </w:trPr>
        <w:tc>
          <w:tcPr>
            <w:tcW w:w="10235" w:type="dxa"/>
            <w:gridSpan w:val="11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 Подпись</w:t>
            </w:r>
          </w:p>
        </w:tc>
      </w:tr>
      <w:tr w:rsidR="00153FEE" w:rsidRPr="005E3DCA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5E3DCA" w:rsidRDefault="00153FEE" w:rsidP="00705ABC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3.1.</w:t>
            </w:r>
            <w:r w:rsidR="00686E4C" w:rsidRPr="005E3DCA">
              <w:rPr>
                <w:sz w:val="22"/>
                <w:szCs w:val="22"/>
              </w:rPr>
              <w:t xml:space="preserve"> </w:t>
            </w:r>
            <w:r w:rsidR="00705ABC" w:rsidRPr="005E3DCA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5E3DCA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proofErr w:type="gramStart"/>
            <w:r w:rsidRPr="005E3DCA">
              <w:rPr>
                <w:bCs/>
                <w:sz w:val="22"/>
                <w:szCs w:val="22"/>
              </w:rPr>
              <w:t>И. В</w:t>
            </w:r>
            <w:proofErr w:type="gramEnd"/>
            <w:r w:rsidRPr="005E3DC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5E3DCA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5E3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5E3DCA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5D244F" w:rsidP="003B2AC2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5D244F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jc w:val="right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3B2AC2" w:rsidP="008736E7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</w:t>
            </w:r>
            <w:r w:rsidR="008736E7" w:rsidRPr="005E3DCA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proofErr w:type="gramStart"/>
            <w:r w:rsidRPr="005E3DCA">
              <w:rPr>
                <w:sz w:val="22"/>
                <w:szCs w:val="22"/>
              </w:rPr>
              <w:t>г</w:t>
            </w:r>
            <w:proofErr w:type="gramEnd"/>
            <w:r w:rsidRPr="005E3DC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10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E8" w:rsidRDefault="00FE27E8">
      <w:r>
        <w:separator/>
      </w:r>
    </w:p>
  </w:endnote>
  <w:endnote w:type="continuationSeparator" w:id="0">
    <w:p w:rsidR="00FE27E8" w:rsidRDefault="00F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E8" w:rsidRDefault="00FE27E8">
      <w:r>
        <w:separator/>
      </w:r>
    </w:p>
  </w:footnote>
  <w:footnote w:type="continuationSeparator" w:id="0">
    <w:p w:rsidR="00FE27E8" w:rsidRDefault="00FE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1175"/>
    <w:rsid w:val="004F35C7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37387"/>
    <w:rsid w:val="00645DC1"/>
    <w:rsid w:val="00653C06"/>
    <w:rsid w:val="00655007"/>
    <w:rsid w:val="00685512"/>
    <w:rsid w:val="00686E4C"/>
    <w:rsid w:val="00687505"/>
    <w:rsid w:val="006A19D7"/>
    <w:rsid w:val="006E1C72"/>
    <w:rsid w:val="00701BCE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4367"/>
    <w:rsid w:val="00C85701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37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3B3E-B973-4E12-A67D-9FB80C85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2002</Words>
  <Characters>13739</Characters>
  <Application>Microsoft Office Word</Application>
  <DocSecurity>0</DocSecurity>
  <Lines>114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15710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Краснова</cp:lastModifiedBy>
  <cp:revision>17</cp:revision>
  <cp:lastPrinted>2021-02-02T08:39:00Z</cp:lastPrinted>
  <dcterms:created xsi:type="dcterms:W3CDTF">2020-09-29T13:31:00Z</dcterms:created>
  <dcterms:modified xsi:type="dcterms:W3CDTF">2021-02-02T09:19:00Z</dcterms:modified>
</cp:coreProperties>
</file>