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5E3DCA" w:rsidRDefault="000133F3" w:rsidP="000133F3">
      <w:pPr>
        <w:jc w:val="center"/>
        <w:rPr>
          <w:b/>
          <w:sz w:val="22"/>
          <w:szCs w:val="22"/>
        </w:rPr>
      </w:pPr>
      <w:r w:rsidRPr="005E3DCA">
        <w:rPr>
          <w:b/>
          <w:sz w:val="22"/>
          <w:szCs w:val="22"/>
        </w:rPr>
        <w:t xml:space="preserve">Сообщение о существенном факте </w:t>
      </w:r>
    </w:p>
    <w:p w:rsidR="000133F3" w:rsidRPr="005E3DCA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5E3DCA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5E3DCA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C95AA7">
        <w:tc>
          <w:tcPr>
            <w:tcW w:w="10234" w:type="dxa"/>
            <w:gridSpan w:val="2"/>
          </w:tcPr>
          <w:p w:rsidR="00153FEE" w:rsidRPr="00C95AA7" w:rsidRDefault="00153FEE">
            <w:pPr>
              <w:jc w:val="center"/>
              <w:rPr>
                <w:sz w:val="22"/>
                <w:szCs w:val="22"/>
              </w:rPr>
            </w:pPr>
            <w:r w:rsidRPr="00C95AA7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ООО «ФИНКОНСАЛТ»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EF62E4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5067847510418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7842345591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C95AA7">
              <w:rPr>
                <w:b/>
                <w:i/>
              </w:rPr>
              <w:t>00342-</w:t>
            </w:r>
            <w:r w:rsidRPr="00C95AA7">
              <w:rPr>
                <w:b/>
                <w:i/>
                <w:lang w:val="en-US"/>
              </w:rPr>
              <w:t>R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C95AA7" w:rsidRDefault="006D5B2A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C95AA7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C95AA7" w:rsidRDefault="00EF62E4" w:rsidP="00EF62E4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http://finconsult-spb.ru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C95AA7" w:rsidRDefault="00B842A9" w:rsidP="00B842A9">
            <w:pPr>
              <w:ind w:right="57"/>
              <w:rPr>
                <w:sz w:val="22"/>
                <w:szCs w:val="22"/>
              </w:rPr>
            </w:pPr>
            <w:r>
              <w:rPr>
                <w:b/>
                <w:i/>
              </w:rPr>
              <w:t>1</w:t>
            </w:r>
            <w:r w:rsidR="007532ED">
              <w:rPr>
                <w:b/>
                <w:i/>
              </w:rPr>
              <w:t>0</w:t>
            </w:r>
            <w:r w:rsidR="005D244F" w:rsidRPr="00C95AA7">
              <w:rPr>
                <w:b/>
                <w:i/>
              </w:rPr>
              <w:t xml:space="preserve"> </w:t>
            </w:r>
            <w:r w:rsidR="007532ED">
              <w:rPr>
                <w:b/>
                <w:i/>
              </w:rPr>
              <w:t>августа</w:t>
            </w:r>
            <w:r w:rsidR="005D244F" w:rsidRPr="00C95AA7">
              <w:rPr>
                <w:b/>
                <w:i/>
              </w:rPr>
              <w:t xml:space="preserve"> </w:t>
            </w:r>
            <w:r w:rsidR="008736E7" w:rsidRPr="00C95AA7">
              <w:rPr>
                <w:b/>
                <w:i/>
              </w:rPr>
              <w:t>202</w:t>
            </w:r>
            <w:r w:rsidR="001B581A" w:rsidRPr="00C95AA7">
              <w:rPr>
                <w:b/>
                <w:i/>
              </w:rPr>
              <w:t>2</w:t>
            </w:r>
            <w:r w:rsidR="008736E7" w:rsidRPr="00C95AA7">
              <w:rPr>
                <w:b/>
                <w:i/>
              </w:rPr>
              <w:t xml:space="preserve"> года</w:t>
            </w:r>
          </w:p>
        </w:tc>
      </w:tr>
    </w:tbl>
    <w:p w:rsidR="00D15FF6" w:rsidRPr="00C95AA7" w:rsidRDefault="00D15FF6">
      <w:pPr>
        <w:rPr>
          <w:sz w:val="22"/>
          <w:szCs w:val="22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6B2B49" w:rsidTr="00E557A7">
        <w:tc>
          <w:tcPr>
            <w:tcW w:w="10206" w:type="dxa"/>
          </w:tcPr>
          <w:p w:rsidR="00D15FF6" w:rsidRPr="006B2B49" w:rsidRDefault="00D15FF6">
            <w:pPr>
              <w:jc w:val="center"/>
            </w:pPr>
            <w:r w:rsidRPr="006B2B49">
              <w:t>2. Содержание сообщения</w:t>
            </w:r>
          </w:p>
        </w:tc>
      </w:tr>
      <w:tr w:rsidR="000B1099" w:rsidRPr="006B2B49" w:rsidTr="00E557A7">
        <w:tc>
          <w:tcPr>
            <w:tcW w:w="10206" w:type="dxa"/>
          </w:tcPr>
          <w:p w:rsidR="000133F3" w:rsidRPr="00D424A2" w:rsidRDefault="000133F3" w:rsidP="00B842A9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</w:rPr>
              <w:t xml:space="preserve">2.1. </w:t>
            </w:r>
            <w:r w:rsidR="001B581A" w:rsidRPr="00D424A2">
              <w:rPr>
                <w:rFonts w:ascii="Times New Roman" w:hAnsi="Times New Roman" w:cs="Times New Roman"/>
              </w:rPr>
              <w:t xml:space="preserve">Лицо, которое совершило </w:t>
            </w:r>
            <w:r w:rsidRPr="00D424A2">
              <w:rPr>
                <w:rFonts w:ascii="Times New Roman" w:hAnsi="Times New Roman" w:cs="Times New Roman"/>
              </w:rPr>
              <w:t xml:space="preserve">существенную сделку: </w:t>
            </w:r>
            <w:r w:rsidRPr="00D424A2">
              <w:rPr>
                <w:rFonts w:ascii="Times New Roman" w:hAnsi="Times New Roman" w:cs="Times New Roman"/>
                <w:b/>
                <w:i/>
              </w:rPr>
              <w:t>Эмитент</w:t>
            </w:r>
          </w:p>
          <w:p w:rsidR="000133F3" w:rsidRPr="00D424A2" w:rsidRDefault="000133F3" w:rsidP="00B842A9">
            <w:pPr>
              <w:adjustRightInd w:val="0"/>
              <w:ind w:left="142" w:right="255"/>
              <w:jc w:val="both"/>
              <w:rPr>
                <w:b/>
                <w:i/>
              </w:rPr>
            </w:pPr>
            <w:r w:rsidRPr="00D424A2">
              <w:t xml:space="preserve">2.2. Категория </w:t>
            </w:r>
            <w:r w:rsidR="00CE30D4" w:rsidRPr="00D424A2">
              <w:t xml:space="preserve">существенной </w:t>
            </w:r>
            <w:r w:rsidRPr="00D424A2">
              <w:t xml:space="preserve">сделки: </w:t>
            </w:r>
            <w:r w:rsidR="00CE30D4" w:rsidRPr="00D424A2">
              <w:rPr>
                <w:b/>
                <w:i/>
              </w:rPr>
              <w:t>крупн</w:t>
            </w:r>
            <w:r w:rsidR="007532ED" w:rsidRPr="00D424A2">
              <w:rPr>
                <w:b/>
                <w:i/>
              </w:rPr>
              <w:t>ая сделка</w:t>
            </w:r>
          </w:p>
          <w:p w:rsidR="000133F3" w:rsidRPr="00D424A2" w:rsidRDefault="000133F3" w:rsidP="00B842A9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</w:rPr>
            </w:pPr>
            <w:r w:rsidRPr="00D424A2">
              <w:rPr>
                <w:rFonts w:ascii="Times New Roman" w:hAnsi="Times New Roman" w:cs="Times New Roman"/>
              </w:rPr>
              <w:t xml:space="preserve">2.3. Вид и предмет </w:t>
            </w:r>
            <w:r w:rsidR="00CE30D4" w:rsidRPr="00D424A2">
              <w:rPr>
                <w:rFonts w:ascii="Times New Roman" w:hAnsi="Times New Roman" w:cs="Times New Roman"/>
              </w:rPr>
              <w:t>сущест</w:t>
            </w:r>
            <w:bookmarkStart w:id="0" w:name="_GoBack"/>
            <w:bookmarkEnd w:id="0"/>
            <w:r w:rsidR="00CE30D4" w:rsidRPr="00D424A2">
              <w:rPr>
                <w:rFonts w:ascii="Times New Roman" w:hAnsi="Times New Roman" w:cs="Times New Roman"/>
              </w:rPr>
              <w:t>венной сделки</w:t>
            </w:r>
            <w:r w:rsidRPr="00D424A2">
              <w:rPr>
                <w:rFonts w:ascii="Times New Roman" w:hAnsi="Times New Roman" w:cs="Times New Roman"/>
              </w:rPr>
              <w:t>:</w:t>
            </w:r>
          </w:p>
          <w:p w:rsidR="005E7651" w:rsidRPr="00D424A2" w:rsidRDefault="005E7651" w:rsidP="00B842A9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  <w:b/>
                <w:i/>
              </w:rPr>
              <w:t xml:space="preserve">Вид сделки: </w:t>
            </w:r>
            <w:r w:rsidR="00B842A9">
              <w:rPr>
                <w:rFonts w:ascii="Times New Roman" w:hAnsi="Times New Roman" w:cs="Times New Roman"/>
                <w:b/>
                <w:i/>
              </w:rPr>
              <w:t>договор уступки прав (требований)</w:t>
            </w:r>
            <w:r w:rsidR="007532ED" w:rsidRPr="00D424A2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D62ED" w:rsidRPr="00D424A2" w:rsidRDefault="005E7651" w:rsidP="00B842A9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  <w:b/>
                <w:i/>
              </w:rPr>
              <w:t>Предмет сдел</w:t>
            </w:r>
            <w:r w:rsidR="007532ED" w:rsidRPr="00D424A2">
              <w:rPr>
                <w:rFonts w:ascii="Times New Roman" w:hAnsi="Times New Roman" w:cs="Times New Roman"/>
                <w:b/>
                <w:i/>
              </w:rPr>
              <w:t>к</w:t>
            </w:r>
            <w:r w:rsidR="00D424A2" w:rsidRPr="00D424A2">
              <w:rPr>
                <w:rFonts w:ascii="Times New Roman" w:hAnsi="Times New Roman" w:cs="Times New Roman"/>
                <w:b/>
                <w:i/>
              </w:rPr>
              <w:t>и</w:t>
            </w:r>
            <w:r w:rsidRPr="00D424A2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B842A9" w:rsidRPr="00B842A9" w:rsidRDefault="00D424A2" w:rsidP="00B842A9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 w:rsidRPr="00B842A9">
              <w:t>«</w:t>
            </w:r>
            <w:r w:rsidR="00B842A9" w:rsidRPr="00B842A9">
              <w:rPr>
                <w:lang w:eastAsia="en-US"/>
              </w:rPr>
              <w:t xml:space="preserve">1. В момент заключения настоящего Договора </w:t>
            </w:r>
            <w:r w:rsidR="00B842A9">
              <w:rPr>
                <w:lang w:eastAsia="en-US"/>
              </w:rPr>
              <w:t>ООО «ФИНКОНСАЛТ» (</w:t>
            </w:r>
            <w:r w:rsidR="00B842A9" w:rsidRPr="00B842A9">
              <w:rPr>
                <w:lang w:eastAsia="en-US"/>
              </w:rPr>
              <w:t>Цедент</w:t>
            </w:r>
            <w:r w:rsidR="00B842A9">
              <w:rPr>
                <w:lang w:eastAsia="en-US"/>
              </w:rPr>
              <w:t>)</w:t>
            </w:r>
            <w:r w:rsidR="00B842A9" w:rsidRPr="00B842A9">
              <w:rPr>
                <w:lang w:eastAsia="en-US"/>
              </w:rPr>
              <w:t xml:space="preserve"> передает (уступает)</w:t>
            </w:r>
            <w:r w:rsidR="00B842A9">
              <w:rPr>
                <w:lang w:eastAsia="en-US"/>
              </w:rPr>
              <w:t xml:space="preserve"> ООО «</w:t>
            </w:r>
            <w:proofErr w:type="spellStart"/>
            <w:r w:rsidR="00B842A9">
              <w:rPr>
                <w:lang w:eastAsia="en-US"/>
              </w:rPr>
              <w:t>Тетроэкономальянс</w:t>
            </w:r>
            <w:proofErr w:type="spellEnd"/>
            <w:r w:rsidR="00B842A9">
              <w:rPr>
                <w:lang w:eastAsia="en-US"/>
              </w:rPr>
              <w:t>»</w:t>
            </w:r>
            <w:r w:rsidR="00B842A9" w:rsidRPr="00B842A9">
              <w:rPr>
                <w:lang w:eastAsia="en-US"/>
              </w:rPr>
              <w:t xml:space="preserve"> </w:t>
            </w:r>
            <w:r w:rsidR="00B842A9">
              <w:rPr>
                <w:lang w:eastAsia="en-US"/>
              </w:rPr>
              <w:t>(</w:t>
            </w:r>
            <w:r w:rsidR="00B842A9" w:rsidRPr="00B842A9">
              <w:rPr>
                <w:lang w:eastAsia="en-US"/>
              </w:rPr>
              <w:t>Цессионари</w:t>
            </w:r>
            <w:r w:rsidR="00B842A9">
              <w:rPr>
                <w:lang w:eastAsia="en-US"/>
              </w:rPr>
              <w:t>й)</w:t>
            </w:r>
            <w:r w:rsidR="00B842A9" w:rsidRPr="00B842A9">
              <w:rPr>
                <w:lang w:eastAsia="en-US"/>
              </w:rPr>
              <w:t xml:space="preserve">, а Цессионарий принимает все права (требования) (далее </w:t>
            </w:r>
            <w:r w:rsidR="00B842A9" w:rsidRPr="00B842A9">
              <w:t xml:space="preserve">все вместе – </w:t>
            </w:r>
            <w:r w:rsidR="00B842A9" w:rsidRPr="00B842A9">
              <w:rPr>
                <w:b/>
              </w:rPr>
              <w:t>«Права (требования)»</w:t>
            </w:r>
            <w:r w:rsidR="00B842A9" w:rsidRPr="00B842A9">
              <w:t xml:space="preserve">) </w:t>
            </w:r>
            <w:r w:rsidR="00B842A9" w:rsidRPr="00B842A9">
              <w:rPr>
                <w:lang w:eastAsia="en-US"/>
              </w:rPr>
              <w:t xml:space="preserve">по отношению к </w:t>
            </w:r>
            <w:r w:rsidR="00B842A9" w:rsidRPr="00B842A9">
              <w:t xml:space="preserve">ICT HOLDING LTD </w:t>
            </w:r>
            <w:r w:rsidR="00B842A9" w:rsidRPr="00B842A9">
              <w:rPr>
                <w:bCs/>
              </w:rPr>
              <w:t>(ИСТ ХОЛДИНГ ЛТД)</w:t>
            </w:r>
            <w:r w:rsidR="00B842A9" w:rsidRPr="00B842A9">
              <w:rPr>
                <w:lang w:eastAsia="en-US"/>
              </w:rPr>
              <w:t xml:space="preserve">, юридическому лицу, </w:t>
            </w:r>
            <w:r w:rsidR="00B842A9" w:rsidRPr="00B842A9">
              <w:rPr>
                <w:bCs/>
              </w:rPr>
              <w:t xml:space="preserve">учрежденному </w:t>
            </w:r>
            <w:r w:rsidR="00B842A9" w:rsidRPr="00B842A9">
              <w:t xml:space="preserve">в соответствии с законодательством Республики Кипр, зарегистрированному 21 мая 2013 года </w:t>
            </w:r>
            <w:r w:rsidR="00B842A9" w:rsidRPr="00B842A9">
              <w:rPr>
                <w:spacing w:val="2"/>
              </w:rPr>
              <w:t>(регистрационный номер:</w:t>
            </w:r>
            <w:r w:rsidR="00B842A9" w:rsidRPr="00B842A9">
              <w:t xml:space="preserve"> </w:t>
            </w:r>
            <w:r w:rsidR="00B842A9" w:rsidRPr="00B842A9">
              <w:rPr>
                <w:spacing w:val="2"/>
              </w:rPr>
              <w:t>HE 322356)</w:t>
            </w:r>
            <w:r w:rsidR="00B842A9" w:rsidRPr="00B842A9">
              <w:rPr>
                <w:lang w:eastAsia="en-US"/>
              </w:rPr>
              <w:t xml:space="preserve"> (далее – «</w:t>
            </w:r>
            <w:r w:rsidR="00B842A9" w:rsidRPr="00B842A9">
              <w:rPr>
                <w:b/>
                <w:lang w:eastAsia="en-US"/>
              </w:rPr>
              <w:t>Должник</w:t>
            </w:r>
            <w:r w:rsidR="00B842A9" w:rsidRPr="00B842A9">
              <w:rPr>
                <w:lang w:eastAsia="en-US"/>
              </w:rPr>
              <w:t xml:space="preserve">»), принадлежащие Цеденту как кредитору по всем обязательствам Должника, вытекающим из </w:t>
            </w:r>
            <w:bookmarkStart w:id="1" w:name="_Hlk106804048"/>
            <w:r w:rsidR="00B842A9" w:rsidRPr="00B842A9">
              <w:t xml:space="preserve">Соглашения об уступке прав (требований) </w:t>
            </w:r>
            <w:r w:rsidR="00B842A9" w:rsidRPr="00B842A9">
              <w:rPr>
                <w:bCs/>
              </w:rPr>
              <w:t>№ ФК-З2/004</w:t>
            </w:r>
            <w:r w:rsidR="00B842A9" w:rsidRPr="00B842A9">
              <w:t xml:space="preserve"> от 07 мая 2018</w:t>
            </w:r>
            <w:r w:rsidR="00B842A9" w:rsidRPr="00B842A9">
              <w:rPr>
                <w:b/>
              </w:rPr>
              <w:t xml:space="preserve"> </w:t>
            </w:r>
            <w:r w:rsidR="00B842A9" w:rsidRPr="00B842A9">
              <w:t xml:space="preserve">года, с учетом всех его последующих изменений и дополнений, внесенных дополнительными соглашениями (далее по тексту – </w:t>
            </w:r>
            <w:r w:rsidR="00B842A9" w:rsidRPr="00B842A9">
              <w:rPr>
                <w:b/>
              </w:rPr>
              <w:t>«Соглашение об уступке от 07.05.2018»</w:t>
            </w:r>
            <w:r w:rsidR="00B842A9" w:rsidRPr="00B842A9">
              <w:t>)</w:t>
            </w:r>
            <w:bookmarkEnd w:id="1"/>
            <w:r w:rsidR="00B842A9" w:rsidRPr="00B842A9">
              <w:rPr>
                <w:lang w:bidi="ru-RU"/>
              </w:rPr>
              <w:t xml:space="preserve">, заключенного между </w:t>
            </w:r>
            <w:r w:rsidR="00B842A9" w:rsidRPr="00B842A9">
              <w:t xml:space="preserve">Цедентом </w:t>
            </w:r>
            <w:r w:rsidR="00B842A9" w:rsidRPr="00B842A9">
              <w:rPr>
                <w:color w:val="000000"/>
                <w:lang w:bidi="ru-RU"/>
              </w:rPr>
              <w:t xml:space="preserve">в качестве </w:t>
            </w:r>
            <w:r w:rsidR="00B842A9" w:rsidRPr="00B842A9">
              <w:rPr>
                <w:lang w:bidi="ru-RU"/>
              </w:rPr>
              <w:t>цедента</w:t>
            </w:r>
            <w:r w:rsidR="00B842A9" w:rsidRPr="00B842A9">
              <w:rPr>
                <w:color w:val="000000"/>
                <w:lang w:bidi="ru-RU"/>
              </w:rPr>
              <w:t xml:space="preserve"> </w:t>
            </w:r>
            <w:r w:rsidR="00B842A9" w:rsidRPr="00B842A9">
              <w:rPr>
                <w:lang w:bidi="ru-RU"/>
              </w:rPr>
              <w:t xml:space="preserve">и Должником в качестве цессионария, в том числе </w:t>
            </w:r>
            <w:r w:rsidR="00B842A9" w:rsidRPr="00B842A9">
              <w:rPr>
                <w:lang w:eastAsia="en-US"/>
              </w:rPr>
              <w:t>Цедент уступает Цессионарию, а Цессионарий принимает следующие Права (требования) по отношению к Должнику:</w:t>
            </w:r>
          </w:p>
          <w:p w:rsidR="00B842A9" w:rsidRPr="00B842A9" w:rsidRDefault="00B842A9" w:rsidP="00B842A9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B842A9">
              <w:rPr>
                <w:lang w:eastAsia="en-US"/>
              </w:rPr>
              <w:t xml:space="preserve">1.1. Права (требования) уплаты неуплаченной второй части платы за уступку прав (требований) и уплаты процентов за пользование </w:t>
            </w:r>
            <w:r w:rsidRPr="00B842A9">
              <w:t xml:space="preserve">суммой неисполненного Должником денежного обязательства по уплате второй части платы за уступку прав (требований) </w:t>
            </w:r>
            <w:r w:rsidRPr="00B842A9">
              <w:rPr>
                <w:lang w:eastAsia="en-US"/>
              </w:rPr>
              <w:t xml:space="preserve">по Соглашению об уступке от 07.05.2018, </w:t>
            </w:r>
            <w:r w:rsidRPr="00B842A9">
              <w:t xml:space="preserve">в общей сумме </w:t>
            </w:r>
            <w:r w:rsidRPr="00B842A9">
              <w:rPr>
                <w:b/>
              </w:rPr>
              <w:t xml:space="preserve">5814980842,83 российского рубля </w:t>
            </w:r>
            <w:r w:rsidRPr="00B842A9">
              <w:t xml:space="preserve">(Пять миллиардов восемьсот четырнадцать миллионов девятьсот восемьдесят тысяч восемьсот сорок два </w:t>
            </w:r>
            <w:r w:rsidRPr="00B842A9">
              <w:rPr>
                <w:lang w:eastAsia="en-US"/>
              </w:rPr>
              <w:t>российских рубля 83 копейки)</w:t>
            </w:r>
            <w:r w:rsidRPr="00B842A9">
              <w:t>, НДС не облагается, в том числе:</w:t>
            </w:r>
          </w:p>
          <w:p w:rsidR="00B842A9" w:rsidRPr="00B842A9" w:rsidRDefault="00B842A9" w:rsidP="00B842A9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lang w:eastAsia="en-US"/>
              </w:rPr>
            </w:pPr>
            <w:r w:rsidRPr="00B842A9">
              <w:rPr>
                <w:lang w:eastAsia="en-US"/>
              </w:rPr>
              <w:t xml:space="preserve">1.1.1. Права (требования) уплаты оставшейся неуплаченной второй части платы за уступку прав (требований) по Соглашению об уступке от 07.05.2018 </w:t>
            </w:r>
            <w:r w:rsidRPr="00B842A9">
              <w:t>в сумме 5553059023,26 российского рубля (Пять миллиардов пятьсот пятьдесят три миллиона пятьдесят девять тысяч двадцать три</w:t>
            </w:r>
            <w:r w:rsidRPr="00B842A9">
              <w:rPr>
                <w:lang w:eastAsia="en-US"/>
              </w:rPr>
              <w:t xml:space="preserve"> российских рубля 26 копеек)</w:t>
            </w:r>
            <w:r w:rsidRPr="00B842A9">
              <w:t>, НДС не облагается (далее также – «</w:t>
            </w:r>
            <w:r w:rsidRPr="00B842A9">
              <w:rPr>
                <w:b/>
              </w:rPr>
              <w:t>Сумма денежного обязательства</w:t>
            </w:r>
            <w:r w:rsidRPr="00B842A9">
              <w:rPr>
                <w:lang w:eastAsia="en-US"/>
              </w:rPr>
              <w:t>»);</w:t>
            </w:r>
          </w:p>
          <w:p w:rsidR="00B842A9" w:rsidRPr="00B842A9" w:rsidRDefault="00B842A9" w:rsidP="00B842A9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B842A9">
              <w:rPr>
                <w:lang w:eastAsia="en-US"/>
              </w:rPr>
              <w:t>1.1.2. Права (требования) уплаты п</w:t>
            </w:r>
            <w:r w:rsidRPr="00B842A9">
              <w:t xml:space="preserve">роцентов, начисленных на Сумму денежного обязательства за период с 09 февраля 2022 года по 10 августа 2022 года включительно, которые представляют собой плату за пользование денежными средствами – Суммой денежного обязательства, указанной в п.1.1.1 настоящего Договора (суммой неисполненного Должником денежного обязательства по уплате второй части платы за уступку прав (требований) по </w:t>
            </w:r>
            <w:r w:rsidRPr="00B842A9">
              <w:rPr>
                <w:lang w:eastAsia="en-US"/>
              </w:rPr>
              <w:t xml:space="preserve">Соглашению об уступке от 07.05.2018), в размере </w:t>
            </w:r>
            <w:r w:rsidRPr="00B842A9">
              <w:t>261921819,57</w:t>
            </w:r>
            <w:r w:rsidRPr="00B842A9">
              <w:rPr>
                <w:lang w:eastAsia="en-US"/>
              </w:rPr>
              <w:t xml:space="preserve"> российского рубля (Двести шестьдесят один миллион девятьсот двадцать одна тысяча восемьсот девятнадцать российских рублей 57 копеек), </w:t>
            </w:r>
            <w:r w:rsidRPr="00B842A9">
              <w:t>НДС не облагается.</w:t>
            </w:r>
          </w:p>
          <w:p w:rsidR="00B842A9" w:rsidRPr="00B842A9" w:rsidRDefault="00B842A9" w:rsidP="00B842A9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B842A9">
              <w:rPr>
                <w:lang w:eastAsia="en-US"/>
              </w:rPr>
              <w:t xml:space="preserve">1.2. Все другие, связанные с уступаемыми правами (требованиями), права (требования), включая </w:t>
            </w:r>
            <w:r w:rsidRPr="00B842A9">
              <w:t xml:space="preserve">права (требования) уплаты процентов, которые будут начислены на Сумму денежного обязательства (на сумму неисполненного Должником денежного обязательства по уплате второй части платы за уступку прав (требований)) после заключения настоящего Договора, а также права (требования), вытекающие из обязательств, указанных в п.1.1.1, п.1.1.2 настоящего Договора,  включая, но не ограничиваясь: право изменять - по соглашению с Должником - обязательства, указанные в п.1.1.1., п.1.1.2 настоящего Договора, в том числе - изменять порядок и/или срок и/или  иные условия оплаты второй части платы за уступку прав (требований) по </w:t>
            </w:r>
            <w:r w:rsidRPr="00B842A9">
              <w:rPr>
                <w:lang w:eastAsia="en-US"/>
              </w:rPr>
              <w:t>Соглашению об уступке от 07.05.2018,</w:t>
            </w:r>
            <w:r w:rsidRPr="00B842A9">
              <w:t xml:space="preserve"> изменять порядок и/или размер и/или срок и/или иные условия уплаты процентов на сумму неисполненного Должником денежного обязательства по уплате второй части платы за уступку прав (требований) по </w:t>
            </w:r>
            <w:r w:rsidRPr="00B842A9">
              <w:rPr>
                <w:lang w:eastAsia="en-US"/>
              </w:rPr>
              <w:t>Соглашению об уступке от 07.05.2018</w:t>
            </w:r>
            <w:r w:rsidRPr="00B842A9">
              <w:t xml:space="preserve">, право заключать с Должником любые соглашения к </w:t>
            </w:r>
            <w:r w:rsidRPr="00B842A9">
              <w:rPr>
                <w:lang w:eastAsia="en-US"/>
              </w:rPr>
              <w:t>Соглашению об уступке от 07.05.2018</w:t>
            </w:r>
            <w:r w:rsidRPr="00B842A9">
              <w:t xml:space="preserve">, изменяющие способ исполнения или условия прекращения Должником обязательств по оплате  второй части платы за уступку прав (требований) и/или уплате процентов на сумму неисполненного Должником денежного обязательства по уплате второй части платы за уступку прав (требований), включая право прекращать обязательства Должника зачетом, а также право прекращать обязательства Должника иными способами  по соглашению с Должником, включая новацию,  отступное и иные способы, не запрещенные законодательством Российской Федерации, а также иные права </w:t>
            </w:r>
            <w:r w:rsidRPr="00B842A9">
              <w:lastRenderedPageBreak/>
              <w:t xml:space="preserve">(требования), вытекающие из Соглашения об уступке </w:t>
            </w:r>
            <w:r w:rsidRPr="00B842A9">
              <w:rPr>
                <w:lang w:eastAsia="en-US"/>
              </w:rPr>
              <w:t xml:space="preserve">от 07.05.2018 </w:t>
            </w:r>
            <w:r w:rsidRPr="00B842A9">
              <w:t>и/или предусмотренные законодательством Российской Федерации.</w:t>
            </w:r>
          </w:p>
          <w:p w:rsidR="00B842A9" w:rsidRPr="00B842A9" w:rsidRDefault="00B842A9" w:rsidP="00B842A9">
            <w:pPr>
              <w:spacing w:line="240" w:lineRule="exact"/>
              <w:ind w:left="142"/>
              <w:jc w:val="both"/>
              <w:rPr>
                <w:lang w:eastAsia="en-US"/>
              </w:rPr>
            </w:pPr>
            <w:r w:rsidRPr="00B842A9">
              <w:t xml:space="preserve">2. Цедент заверяет, что передаваемые по настоящему Договору Права (требования) не переданы Цедентом третьим лицам, </w:t>
            </w:r>
            <w:r w:rsidRPr="00B842A9">
              <w:rPr>
                <w:lang w:eastAsia="en-US"/>
              </w:rPr>
              <w:t>не обременены и не ограничены правами третьих лиц, не являются предметом залога, что Цедент не совершал и не будет совершать никакие сделки и действия, которые могут служить основанием для возражений Должника против уступленных Прав (требований).</w:t>
            </w:r>
          </w:p>
          <w:p w:rsidR="00B842A9" w:rsidRPr="00B842A9" w:rsidRDefault="00B842A9" w:rsidP="00B842A9">
            <w:pPr>
              <w:tabs>
                <w:tab w:val="left" w:pos="4536"/>
              </w:tabs>
              <w:spacing w:line="240" w:lineRule="exact"/>
              <w:ind w:left="142"/>
              <w:jc w:val="both"/>
            </w:pPr>
            <w:r w:rsidRPr="00B842A9">
              <w:t xml:space="preserve">3. Цедент отвечает перед Цессионарием за недействительность переданных ему Прав (требований), но не отвечает перед Цессионарием за неисполнение или ненадлежащее исполнение Должником обязанностей по Соглашению об уступке </w:t>
            </w:r>
            <w:r w:rsidRPr="00B842A9">
              <w:rPr>
                <w:lang w:eastAsia="en-US"/>
              </w:rPr>
              <w:t>от 07.05.2018</w:t>
            </w:r>
            <w:r w:rsidRPr="00B842A9">
              <w:t>.</w:t>
            </w:r>
          </w:p>
          <w:p w:rsidR="00B842A9" w:rsidRPr="00B842A9" w:rsidRDefault="00B842A9" w:rsidP="00B842A9">
            <w:pPr>
              <w:tabs>
                <w:tab w:val="left" w:pos="720"/>
              </w:tabs>
              <w:adjustRightInd w:val="0"/>
              <w:spacing w:line="240" w:lineRule="exact"/>
              <w:ind w:left="142"/>
              <w:jc w:val="both"/>
            </w:pPr>
            <w:r w:rsidRPr="00B842A9">
              <w:t>4. Права (требования) переходят от Цедента к Цессионарию с момента заключения (подписания) настоящего Договора в том объеме и на тех условиях, которые существуют к моменту перехода Прав (требований) (к моменту заключения настоящего Договора).</w:t>
            </w:r>
          </w:p>
          <w:p w:rsidR="00B842A9" w:rsidRPr="00B842A9" w:rsidRDefault="00B842A9" w:rsidP="00B842A9">
            <w:pPr>
              <w:tabs>
                <w:tab w:val="left" w:pos="720"/>
              </w:tabs>
              <w:adjustRightInd w:val="0"/>
              <w:spacing w:line="240" w:lineRule="exact"/>
              <w:ind w:left="142"/>
              <w:jc w:val="both"/>
            </w:pPr>
            <w:r w:rsidRPr="00B842A9">
              <w:t xml:space="preserve">Переход Прав (требований) от Цедента к Цессионарию не влечет изменение условий Соглашения об уступке </w:t>
            </w:r>
            <w:r w:rsidRPr="00B842A9">
              <w:rPr>
                <w:lang w:eastAsia="en-US"/>
              </w:rPr>
              <w:t>от 07.05.2018</w:t>
            </w:r>
            <w:r w:rsidRPr="00B842A9">
              <w:t xml:space="preserve">, в том числе не влечет изменение подсудности, согласованной с Должником в Соглашении об уступке </w:t>
            </w:r>
            <w:r w:rsidRPr="00B842A9">
              <w:rPr>
                <w:lang w:eastAsia="en-US"/>
              </w:rPr>
              <w:t>от 07.05.2018</w:t>
            </w:r>
            <w:r w:rsidRPr="00B842A9">
              <w:t>.</w:t>
            </w:r>
          </w:p>
          <w:p w:rsidR="00B842A9" w:rsidRPr="00B842A9" w:rsidRDefault="00B842A9" w:rsidP="00B842A9">
            <w:pPr>
              <w:tabs>
                <w:tab w:val="left" w:pos="720"/>
              </w:tabs>
              <w:adjustRightInd w:val="0"/>
              <w:spacing w:line="240" w:lineRule="exact"/>
              <w:ind w:left="142"/>
              <w:jc w:val="both"/>
            </w:pPr>
            <w:r w:rsidRPr="00B842A9">
              <w:t>5. Факт перехода Прав (требований) от Цедента к Цессионарию</w:t>
            </w:r>
            <w:r w:rsidRPr="00B842A9">
              <w:rPr>
                <w:color w:val="000000" w:themeColor="text1"/>
              </w:rPr>
              <w:t xml:space="preserve"> подтверждается настоящим Договором. </w:t>
            </w:r>
            <w:r w:rsidRPr="00B842A9">
              <w:t>Составления и подписания Сторонами дополнительных документов, удостоверяющих факт перехода Прав (требований) от Цедента к Цессионарию, не требуется.</w:t>
            </w:r>
          </w:p>
          <w:p w:rsidR="00D424A2" w:rsidRPr="00B842A9" w:rsidRDefault="00B842A9" w:rsidP="00B842A9">
            <w:pPr>
              <w:tabs>
                <w:tab w:val="left" w:pos="4536"/>
              </w:tabs>
              <w:spacing w:line="240" w:lineRule="exact"/>
              <w:ind w:left="142"/>
              <w:jc w:val="both"/>
              <w:rPr>
                <w:rFonts w:ascii="Calibri" w:hAnsi="Calibri" w:cs="Calibri"/>
                <w:color w:val="000000"/>
              </w:rPr>
            </w:pPr>
            <w:r w:rsidRPr="00B842A9">
              <w:t xml:space="preserve">6. Цессионарий обязуется уплатить Цеденту за уступку Прав (требований) плату в размере </w:t>
            </w:r>
            <w:r w:rsidRPr="00B842A9">
              <w:rPr>
                <w:b/>
              </w:rPr>
              <w:t xml:space="preserve">5814980842,83 российского рубля </w:t>
            </w:r>
            <w:r w:rsidRPr="00B842A9">
              <w:t xml:space="preserve">(Пять миллиардов восемьсот четырнадцать миллионов девятьсот восемьдесят тысяч восемьсот сорок два </w:t>
            </w:r>
            <w:r w:rsidRPr="00B842A9">
              <w:rPr>
                <w:lang w:eastAsia="en-US"/>
              </w:rPr>
              <w:t>российских рубля 83 копейки)</w:t>
            </w:r>
            <w:r w:rsidRPr="00B842A9">
              <w:t xml:space="preserve">, НДС не облагается, (далее по тексту настоящего Договора – </w:t>
            </w:r>
            <w:r w:rsidRPr="00B842A9">
              <w:rPr>
                <w:b/>
              </w:rPr>
              <w:t>«Плата за уступку Прав (требований)»</w:t>
            </w:r>
            <w:r w:rsidRPr="00B842A9">
              <w:t xml:space="preserve">) в срок </w:t>
            </w:r>
            <w:r w:rsidRPr="00B842A9">
              <w:rPr>
                <w:b/>
              </w:rPr>
              <w:t>не позднее 31 декабря 2022 года</w:t>
            </w:r>
            <w:r w:rsidR="00D424A2" w:rsidRPr="00B842A9">
              <w:t>».</w:t>
            </w:r>
          </w:p>
          <w:p w:rsidR="00CE30D4" w:rsidRPr="00B842A9" w:rsidRDefault="00CE30D4" w:rsidP="00B842A9">
            <w:pPr>
              <w:spacing w:line="240" w:lineRule="exact"/>
              <w:ind w:left="142"/>
              <w:jc w:val="both"/>
              <w:rPr>
                <w:color w:val="000000"/>
              </w:rPr>
            </w:pPr>
            <w:r w:rsidRPr="00B842A9">
              <w:rPr>
                <w:color w:val="000000"/>
              </w:rPr>
              <w:t>2.5. Стороны и выгодоприобретатели по существенной сделке:</w:t>
            </w:r>
          </w:p>
          <w:p w:rsidR="00CE30D4" w:rsidRPr="00B842A9" w:rsidRDefault="00C72EAF" w:rsidP="00B842A9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 w:rsidRPr="00B842A9">
              <w:rPr>
                <w:b/>
                <w:i/>
              </w:rPr>
              <w:t>Сторона 1</w:t>
            </w:r>
            <w:r w:rsidR="00CE30D4" w:rsidRPr="00B842A9">
              <w:rPr>
                <w:b/>
                <w:i/>
              </w:rPr>
              <w:t>: Общество с ограниченной ответственностью «ФИНКОНСАЛТ»</w:t>
            </w:r>
          </w:p>
          <w:p w:rsidR="00CE30D4" w:rsidRPr="00B842A9" w:rsidRDefault="00C72EAF" w:rsidP="00B842A9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 w:rsidRPr="00B842A9">
              <w:rPr>
                <w:b/>
                <w:i/>
              </w:rPr>
              <w:t>Сторона 2</w:t>
            </w:r>
            <w:r w:rsidR="00CE30D4" w:rsidRPr="00B842A9">
              <w:rPr>
                <w:b/>
                <w:i/>
              </w:rPr>
              <w:t xml:space="preserve">: </w:t>
            </w:r>
            <w:r w:rsidR="00B842A9" w:rsidRPr="00B842A9">
              <w:rPr>
                <w:b/>
                <w:i/>
              </w:rPr>
              <w:t xml:space="preserve">Общество с ограниченной ответственностью </w:t>
            </w:r>
            <w:r w:rsidR="00B842A9">
              <w:rPr>
                <w:b/>
                <w:i/>
              </w:rPr>
              <w:t>«</w:t>
            </w:r>
            <w:proofErr w:type="spellStart"/>
            <w:r w:rsidR="00B842A9" w:rsidRPr="00B842A9">
              <w:rPr>
                <w:b/>
                <w:i/>
                <w:lang w:eastAsia="en-US"/>
              </w:rPr>
              <w:t>Тетроэкономальянс</w:t>
            </w:r>
            <w:proofErr w:type="spellEnd"/>
            <w:r w:rsidR="00B842A9" w:rsidRPr="00B842A9">
              <w:rPr>
                <w:b/>
                <w:i/>
                <w:lang w:eastAsia="en-US"/>
              </w:rPr>
              <w:t>»</w:t>
            </w:r>
          </w:p>
          <w:p w:rsidR="00CE30D4" w:rsidRPr="00B842A9" w:rsidRDefault="00CE30D4" w:rsidP="00D424A2">
            <w:pPr>
              <w:spacing w:line="240" w:lineRule="exact"/>
              <w:ind w:left="142"/>
              <w:jc w:val="both"/>
              <w:rPr>
                <w:b/>
                <w:i/>
              </w:rPr>
            </w:pPr>
            <w:r w:rsidRPr="00B842A9">
              <w:rPr>
                <w:b/>
                <w:i/>
              </w:rPr>
              <w:t>Выгодоприобретатель: отсутствует</w:t>
            </w:r>
          </w:p>
          <w:p w:rsidR="000133F3" w:rsidRPr="00B842A9" w:rsidRDefault="0017456D" w:rsidP="00D424A2">
            <w:pPr>
              <w:spacing w:line="240" w:lineRule="exact"/>
              <w:ind w:left="142"/>
              <w:jc w:val="both"/>
            </w:pPr>
            <w:r w:rsidRPr="00B842A9">
              <w:t>2.6</w:t>
            </w:r>
            <w:r w:rsidR="000133F3" w:rsidRPr="00B842A9">
              <w:t xml:space="preserve">. Срок исполнения обязательств по </w:t>
            </w:r>
            <w:r w:rsidR="00CE30D4" w:rsidRPr="00B842A9">
              <w:t xml:space="preserve">существенной </w:t>
            </w:r>
            <w:r w:rsidR="000133F3" w:rsidRPr="00B842A9">
              <w:t>сделке</w:t>
            </w:r>
            <w:r w:rsidR="00CE30D4" w:rsidRPr="00B842A9">
              <w:t>:</w:t>
            </w:r>
          </w:p>
          <w:p w:rsidR="00514221" w:rsidRPr="00B842A9" w:rsidRDefault="00B842A9" w:rsidP="00D424A2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  <w:r w:rsidR="00514221" w:rsidRPr="00B842A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декабря</w:t>
            </w:r>
            <w:r w:rsidR="00E3335B" w:rsidRPr="00B842A9">
              <w:rPr>
                <w:b/>
                <w:i/>
              </w:rPr>
              <w:t xml:space="preserve"> </w:t>
            </w:r>
            <w:r w:rsidR="00514221" w:rsidRPr="00B842A9">
              <w:rPr>
                <w:b/>
                <w:i/>
              </w:rPr>
              <w:t>202</w:t>
            </w:r>
            <w:r w:rsidR="004177FE" w:rsidRPr="00B842A9">
              <w:rPr>
                <w:b/>
                <w:i/>
              </w:rPr>
              <w:t>2</w:t>
            </w:r>
            <w:r w:rsidR="00514221" w:rsidRPr="00B842A9">
              <w:rPr>
                <w:b/>
                <w:i/>
              </w:rPr>
              <w:t xml:space="preserve"> года.</w:t>
            </w:r>
          </w:p>
          <w:p w:rsidR="000133F3" w:rsidRPr="00D424A2" w:rsidRDefault="00CE30D4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B842A9">
              <w:rPr>
                <w:rFonts w:ascii="Times New Roman" w:hAnsi="Times New Roman" w:cs="Times New Roman"/>
              </w:rPr>
              <w:t>2.</w:t>
            </w:r>
            <w:r w:rsidR="0017456D" w:rsidRPr="00B842A9">
              <w:rPr>
                <w:rFonts w:ascii="Times New Roman" w:hAnsi="Times New Roman" w:cs="Times New Roman"/>
              </w:rPr>
              <w:t>7</w:t>
            </w:r>
            <w:r w:rsidRPr="00B842A9">
              <w:rPr>
                <w:rFonts w:ascii="Times New Roman" w:hAnsi="Times New Roman" w:cs="Times New Roman"/>
              </w:rPr>
              <w:t xml:space="preserve">. </w:t>
            </w:r>
            <w:r w:rsidR="000133F3" w:rsidRPr="00B842A9">
              <w:rPr>
                <w:rFonts w:ascii="Times New Roman" w:hAnsi="Times New Roman" w:cs="Times New Roman"/>
              </w:rPr>
              <w:t xml:space="preserve">Размер </w:t>
            </w:r>
            <w:r w:rsidRPr="00B842A9">
              <w:rPr>
                <w:rFonts w:ascii="Times New Roman" w:hAnsi="Times New Roman" w:cs="Times New Roman"/>
              </w:rPr>
              <w:t>существенной</w:t>
            </w:r>
            <w:r w:rsidRPr="00D424A2">
              <w:rPr>
                <w:rFonts w:ascii="Times New Roman" w:hAnsi="Times New Roman" w:cs="Times New Roman"/>
              </w:rPr>
              <w:t xml:space="preserve"> </w:t>
            </w:r>
            <w:r w:rsidR="000133F3" w:rsidRPr="00D424A2">
              <w:rPr>
                <w:rFonts w:ascii="Times New Roman" w:hAnsi="Times New Roman" w:cs="Times New Roman"/>
              </w:rPr>
              <w:t>сделки в денежном выражении</w:t>
            </w:r>
            <w:r w:rsidRPr="00D424A2">
              <w:rPr>
                <w:rFonts w:ascii="Times New Roman" w:hAnsi="Times New Roman" w:cs="Times New Roman"/>
              </w:rPr>
              <w:t xml:space="preserve"> и в процентах от стоимости активов </w:t>
            </w:r>
            <w:r w:rsidR="006258C6" w:rsidRPr="00D424A2">
              <w:rPr>
                <w:rFonts w:ascii="Times New Roman" w:hAnsi="Times New Roman" w:cs="Times New Roman"/>
              </w:rPr>
              <w:t>эмитента</w:t>
            </w:r>
            <w:r w:rsidR="000133F3" w:rsidRPr="00D424A2">
              <w:rPr>
                <w:rFonts w:ascii="Times New Roman" w:hAnsi="Times New Roman" w:cs="Times New Roman"/>
              </w:rPr>
              <w:t>:</w:t>
            </w:r>
          </w:p>
          <w:p w:rsidR="00C727E8" w:rsidRPr="00D424A2" w:rsidRDefault="00C85E5F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  <w:b/>
                <w:i/>
              </w:rPr>
              <w:t xml:space="preserve">Размер </w:t>
            </w:r>
            <w:r w:rsidR="0017456D" w:rsidRPr="00D424A2">
              <w:rPr>
                <w:rFonts w:ascii="Times New Roman" w:hAnsi="Times New Roman" w:cs="Times New Roman"/>
                <w:b/>
                <w:i/>
              </w:rPr>
              <w:t xml:space="preserve">существенной </w:t>
            </w:r>
            <w:r w:rsidRPr="00D424A2">
              <w:rPr>
                <w:rFonts w:ascii="Times New Roman" w:hAnsi="Times New Roman" w:cs="Times New Roman"/>
                <w:b/>
                <w:i/>
              </w:rPr>
              <w:t xml:space="preserve">сделки составляет </w:t>
            </w:r>
            <w:r w:rsidR="00B842A9">
              <w:rPr>
                <w:rFonts w:ascii="Times New Roman" w:hAnsi="Times New Roman" w:cs="Times New Roman"/>
                <w:b/>
                <w:i/>
              </w:rPr>
              <w:t>5814980842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,</w:t>
            </w:r>
            <w:r w:rsidR="00B842A9">
              <w:rPr>
                <w:rFonts w:ascii="Times New Roman" w:hAnsi="Times New Roman" w:cs="Times New Roman"/>
                <w:b/>
                <w:i/>
              </w:rPr>
              <w:t>83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 xml:space="preserve"> руб.</w:t>
            </w:r>
          </w:p>
          <w:p w:rsidR="00C727E8" w:rsidRPr="00D424A2" w:rsidRDefault="00C85E5F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  <w:b/>
                <w:i/>
              </w:rPr>
              <w:t xml:space="preserve">Размер </w:t>
            </w:r>
            <w:r w:rsidR="006258C6" w:rsidRPr="00D424A2">
              <w:rPr>
                <w:rFonts w:ascii="Times New Roman" w:hAnsi="Times New Roman" w:cs="Times New Roman"/>
                <w:b/>
                <w:i/>
              </w:rPr>
              <w:t xml:space="preserve">существенной </w:t>
            </w:r>
            <w:r w:rsidRPr="00D424A2">
              <w:rPr>
                <w:rFonts w:ascii="Times New Roman" w:hAnsi="Times New Roman" w:cs="Times New Roman"/>
                <w:b/>
                <w:i/>
              </w:rPr>
              <w:t xml:space="preserve">сделки </w:t>
            </w:r>
            <w:r w:rsidR="00C727E8" w:rsidRPr="00D424A2">
              <w:rPr>
                <w:rFonts w:ascii="Times New Roman" w:hAnsi="Times New Roman" w:cs="Times New Roman"/>
                <w:b/>
                <w:i/>
              </w:rPr>
              <w:t xml:space="preserve">в процентах – </w:t>
            </w:r>
            <w:r w:rsidR="00B842A9">
              <w:rPr>
                <w:rFonts w:ascii="Times New Roman" w:hAnsi="Times New Roman" w:cs="Times New Roman"/>
                <w:b/>
                <w:i/>
              </w:rPr>
              <w:t>28</w:t>
            </w:r>
            <w:r w:rsidR="004B3B4A" w:rsidRPr="00D424A2">
              <w:rPr>
                <w:rFonts w:ascii="Times New Roman" w:hAnsi="Times New Roman" w:cs="Times New Roman"/>
                <w:b/>
                <w:i/>
              </w:rPr>
              <w:t>,</w:t>
            </w:r>
            <w:r w:rsidR="00B842A9">
              <w:rPr>
                <w:rFonts w:ascii="Times New Roman" w:hAnsi="Times New Roman" w:cs="Times New Roman"/>
                <w:b/>
                <w:i/>
              </w:rPr>
              <w:t>8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2</w:t>
            </w:r>
            <w:r w:rsidR="00C727E8" w:rsidRPr="00D424A2">
              <w:rPr>
                <w:rFonts w:ascii="Times New Roman" w:hAnsi="Times New Roman" w:cs="Times New Roman"/>
                <w:b/>
                <w:i/>
              </w:rPr>
              <w:t>% от балансовой стоимости активов Эмитента, по состоянию на 3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="00C727E8" w:rsidRPr="00D424A2">
              <w:rPr>
                <w:rFonts w:ascii="Times New Roman" w:hAnsi="Times New Roman" w:cs="Times New Roman"/>
                <w:b/>
                <w:i/>
              </w:rPr>
              <w:t>.</w:t>
            </w:r>
            <w:r w:rsidR="004177FE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6</w:t>
            </w:r>
            <w:r w:rsidR="00C727E8" w:rsidRPr="00D424A2">
              <w:rPr>
                <w:rFonts w:ascii="Times New Roman" w:hAnsi="Times New Roman" w:cs="Times New Roman"/>
                <w:b/>
                <w:i/>
              </w:rPr>
              <w:t>.202</w:t>
            </w:r>
            <w:r w:rsidR="006258C6" w:rsidRPr="00D424A2">
              <w:rPr>
                <w:rFonts w:ascii="Times New Roman" w:hAnsi="Times New Roman" w:cs="Times New Roman"/>
                <w:b/>
                <w:i/>
              </w:rPr>
              <w:t>2</w:t>
            </w:r>
            <w:r w:rsidR="00C727E8" w:rsidRPr="00D424A2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0133F3" w:rsidRPr="00D424A2" w:rsidRDefault="0017456D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D424A2">
              <w:rPr>
                <w:rFonts w:ascii="Times New Roman" w:hAnsi="Times New Roman" w:cs="Times New Roman"/>
              </w:rPr>
              <w:t>2.8</w:t>
            </w:r>
            <w:r w:rsidR="000133F3" w:rsidRPr="00D424A2">
              <w:rPr>
                <w:rFonts w:ascii="Times New Roman" w:hAnsi="Times New Roman" w:cs="Times New Roman"/>
              </w:rPr>
              <w:t>. Стоимость активов</w:t>
            </w:r>
            <w:r w:rsidR="006258C6" w:rsidRPr="00D424A2">
              <w:rPr>
                <w:rFonts w:ascii="Times New Roman" w:hAnsi="Times New Roman" w:cs="Times New Roman"/>
              </w:rPr>
              <w:t>, определенная по данным бухгалтерской (финансовой) отчетности эмитента</w:t>
            </w:r>
            <w:r w:rsidR="000133F3" w:rsidRPr="00D424A2">
              <w:rPr>
                <w:rFonts w:ascii="Times New Roman" w:hAnsi="Times New Roman" w:cs="Times New Roman"/>
              </w:rPr>
              <w:t xml:space="preserve"> на </w:t>
            </w:r>
            <w:r w:rsidR="006258C6" w:rsidRPr="00D424A2">
              <w:rPr>
                <w:rFonts w:ascii="Times New Roman" w:hAnsi="Times New Roman" w:cs="Times New Roman"/>
              </w:rPr>
              <w:t>последнюю отчетную дату (</w:t>
            </w:r>
            <w:r w:rsidR="000133F3" w:rsidRPr="00D424A2">
              <w:rPr>
                <w:rFonts w:ascii="Times New Roman" w:hAnsi="Times New Roman" w:cs="Times New Roman"/>
              </w:rPr>
              <w:t xml:space="preserve">дату окончания последнего завершенного отчетного периода, предшествующего </w:t>
            </w:r>
            <w:r w:rsidR="006258C6" w:rsidRPr="00D424A2">
              <w:rPr>
                <w:rFonts w:ascii="Times New Roman" w:hAnsi="Times New Roman" w:cs="Times New Roman"/>
              </w:rPr>
              <w:t xml:space="preserve">дате </w:t>
            </w:r>
            <w:r w:rsidR="000133F3" w:rsidRPr="00D424A2">
              <w:rPr>
                <w:rFonts w:ascii="Times New Roman" w:hAnsi="Times New Roman" w:cs="Times New Roman"/>
              </w:rPr>
              <w:t>совершени</w:t>
            </w:r>
            <w:r w:rsidR="006258C6" w:rsidRPr="00D424A2">
              <w:rPr>
                <w:rFonts w:ascii="Times New Roman" w:hAnsi="Times New Roman" w:cs="Times New Roman"/>
              </w:rPr>
              <w:t>я</w:t>
            </w:r>
            <w:r w:rsidR="000133F3" w:rsidRPr="00D424A2">
              <w:rPr>
                <w:rFonts w:ascii="Times New Roman" w:hAnsi="Times New Roman" w:cs="Times New Roman"/>
              </w:rPr>
              <w:t xml:space="preserve"> сделки):</w:t>
            </w:r>
          </w:p>
          <w:p w:rsidR="000133F3" w:rsidRPr="00D424A2" w:rsidRDefault="000133F3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  <w:b/>
                <w:i/>
              </w:rPr>
              <w:t xml:space="preserve">Стоимость активов Эмитента по состоянию на 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3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.</w:t>
            </w:r>
            <w:r w:rsidR="004177FE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6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.</w:t>
            </w:r>
            <w:r w:rsidRPr="00D424A2">
              <w:rPr>
                <w:rFonts w:ascii="Times New Roman" w:hAnsi="Times New Roman" w:cs="Times New Roman"/>
                <w:b/>
                <w:i/>
              </w:rPr>
              <w:t>20</w:t>
            </w:r>
            <w:r w:rsidR="008736E7" w:rsidRPr="00D424A2">
              <w:rPr>
                <w:rFonts w:ascii="Times New Roman" w:hAnsi="Times New Roman" w:cs="Times New Roman"/>
                <w:b/>
                <w:i/>
              </w:rPr>
              <w:t>2</w:t>
            </w:r>
            <w:r w:rsidR="006258C6" w:rsidRPr="00D424A2">
              <w:rPr>
                <w:rFonts w:ascii="Times New Roman" w:hAnsi="Times New Roman" w:cs="Times New Roman"/>
                <w:b/>
                <w:i/>
              </w:rPr>
              <w:t>2</w:t>
            </w:r>
            <w:r w:rsidRPr="00D424A2">
              <w:rPr>
                <w:rFonts w:ascii="Times New Roman" w:hAnsi="Times New Roman" w:cs="Times New Roman"/>
                <w:b/>
                <w:i/>
              </w:rPr>
              <w:t xml:space="preserve"> г. составила 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20 </w:t>
            </w:r>
            <w:r w:rsidR="00C95AA7" w:rsidRPr="00D424A2">
              <w:rPr>
                <w:rFonts w:ascii="Times New Roman" w:hAnsi="Times New Roman" w:cs="Times New Roman"/>
                <w:b/>
                <w:i/>
              </w:rPr>
              <w:t>1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7</w:t>
            </w:r>
            <w:r w:rsidR="00C95AA7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 </w:t>
            </w:r>
            <w:r w:rsidR="00162FF9" w:rsidRPr="00D424A2">
              <w:rPr>
                <w:rFonts w:ascii="Times New Roman" w:hAnsi="Times New Roman" w:cs="Times New Roman"/>
                <w:b/>
                <w:i/>
              </w:rPr>
              <w:t>674</w:t>
            </w:r>
            <w:r w:rsidR="008623BA" w:rsidRPr="00D424A2">
              <w:rPr>
                <w:rFonts w:ascii="Times New Roman" w:hAnsi="Times New Roman" w:cs="Times New Roman"/>
                <w:b/>
                <w:i/>
              </w:rPr>
              <w:t> </w:t>
            </w:r>
            <w:r w:rsidR="004177FE" w:rsidRPr="00D424A2">
              <w:rPr>
                <w:rFonts w:ascii="Times New Roman" w:hAnsi="Times New Roman" w:cs="Times New Roman"/>
                <w:b/>
                <w:i/>
              </w:rPr>
              <w:t>000</w:t>
            </w:r>
            <w:r w:rsidR="008623BA" w:rsidRPr="00D424A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D424A2">
              <w:rPr>
                <w:rFonts w:ascii="Times New Roman" w:hAnsi="Times New Roman" w:cs="Times New Roman"/>
                <w:b/>
                <w:i/>
              </w:rPr>
              <w:t>руб.</w:t>
            </w:r>
          </w:p>
          <w:p w:rsidR="000133F3" w:rsidRPr="00D424A2" w:rsidRDefault="000133F3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424A2">
              <w:rPr>
                <w:rFonts w:ascii="Times New Roman" w:hAnsi="Times New Roman" w:cs="Times New Roman"/>
              </w:rPr>
              <w:t>2.</w:t>
            </w:r>
            <w:r w:rsidR="0017456D" w:rsidRPr="00D424A2">
              <w:rPr>
                <w:rFonts w:ascii="Times New Roman" w:hAnsi="Times New Roman" w:cs="Times New Roman"/>
              </w:rPr>
              <w:t>9</w:t>
            </w:r>
            <w:r w:rsidRPr="00D424A2">
              <w:rPr>
                <w:rFonts w:ascii="Times New Roman" w:hAnsi="Times New Roman" w:cs="Times New Roman"/>
              </w:rPr>
              <w:t xml:space="preserve">. Дата совершения </w:t>
            </w:r>
            <w:r w:rsidR="006258C6" w:rsidRPr="00D424A2">
              <w:rPr>
                <w:rFonts w:ascii="Times New Roman" w:hAnsi="Times New Roman" w:cs="Times New Roman"/>
              </w:rPr>
              <w:t xml:space="preserve">существенной </w:t>
            </w:r>
            <w:r w:rsidRPr="00D424A2">
              <w:rPr>
                <w:rFonts w:ascii="Times New Roman" w:hAnsi="Times New Roman" w:cs="Times New Roman"/>
              </w:rPr>
              <w:t xml:space="preserve">сделки: </w:t>
            </w:r>
            <w:r w:rsidRPr="00D424A2">
              <w:rPr>
                <w:rFonts w:ascii="Times New Roman" w:hAnsi="Times New Roman" w:cs="Times New Roman"/>
                <w:b/>
                <w:i/>
              </w:rPr>
              <w:t>«</w:t>
            </w:r>
            <w:r w:rsidR="00B842A9">
              <w:rPr>
                <w:rFonts w:ascii="Times New Roman" w:hAnsi="Times New Roman" w:cs="Times New Roman"/>
                <w:b/>
                <w:i/>
              </w:rPr>
              <w:t>1</w:t>
            </w:r>
            <w:r w:rsidR="000E6251" w:rsidRPr="00D424A2">
              <w:rPr>
                <w:rFonts w:ascii="Times New Roman" w:hAnsi="Times New Roman" w:cs="Times New Roman"/>
                <w:b/>
                <w:i/>
              </w:rPr>
              <w:t>0</w:t>
            </w:r>
            <w:r w:rsidRPr="00D424A2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0E6251" w:rsidRPr="00D424A2">
              <w:rPr>
                <w:rFonts w:ascii="Times New Roman" w:hAnsi="Times New Roman" w:cs="Times New Roman"/>
                <w:b/>
                <w:i/>
              </w:rPr>
              <w:t>августа</w:t>
            </w:r>
            <w:r w:rsidR="005D244F" w:rsidRPr="00D424A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424A2">
              <w:rPr>
                <w:rFonts w:ascii="Times New Roman" w:hAnsi="Times New Roman" w:cs="Times New Roman"/>
                <w:b/>
                <w:i/>
              </w:rPr>
              <w:t>202</w:t>
            </w:r>
            <w:r w:rsidR="006258C6" w:rsidRPr="00D424A2">
              <w:rPr>
                <w:rFonts w:ascii="Times New Roman" w:hAnsi="Times New Roman" w:cs="Times New Roman"/>
                <w:b/>
                <w:i/>
              </w:rPr>
              <w:t>2</w:t>
            </w:r>
            <w:r w:rsidRPr="00D424A2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0133F3" w:rsidRPr="00D424A2" w:rsidRDefault="000133F3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D424A2">
              <w:rPr>
                <w:rFonts w:ascii="Times New Roman" w:hAnsi="Times New Roman" w:cs="Times New Roman"/>
              </w:rPr>
              <w:t>2.</w:t>
            </w:r>
            <w:r w:rsidR="0017456D" w:rsidRPr="00D424A2">
              <w:rPr>
                <w:rFonts w:ascii="Times New Roman" w:hAnsi="Times New Roman" w:cs="Times New Roman"/>
              </w:rPr>
              <w:t>10</w:t>
            </w:r>
            <w:r w:rsidRPr="00D424A2">
              <w:rPr>
                <w:rFonts w:ascii="Times New Roman" w:hAnsi="Times New Roman" w:cs="Times New Roman"/>
              </w:rPr>
              <w:t>. Сведения о</w:t>
            </w:r>
            <w:r w:rsidR="006258C6" w:rsidRPr="00D424A2">
              <w:rPr>
                <w:rFonts w:ascii="Times New Roman" w:hAnsi="Times New Roman" w:cs="Times New Roman"/>
              </w:rPr>
              <w:t xml:space="preserve">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</w:t>
            </w:r>
            <w:r w:rsidRPr="00D424A2">
              <w:rPr>
                <w:rFonts w:ascii="Times New Roman" w:hAnsi="Times New Roman" w:cs="Times New Roman"/>
              </w:rPr>
              <w:t xml:space="preserve">или указание на то, что </w:t>
            </w:r>
            <w:r w:rsidR="006258C6" w:rsidRPr="00D424A2">
              <w:rPr>
                <w:rFonts w:ascii="Times New Roman" w:hAnsi="Times New Roman" w:cs="Times New Roman"/>
              </w:rPr>
              <w:t>решение о согласии на совершение или о последующем одобрении существенной сделки не принималось:</w:t>
            </w:r>
          </w:p>
          <w:p w:rsidR="001D2F98" w:rsidRPr="000E6251" w:rsidRDefault="00D424A2" w:rsidP="00B842A9">
            <w:pPr>
              <w:ind w:left="142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«</w:t>
            </w:r>
            <w:r w:rsidR="00B842A9">
              <w:rPr>
                <w:b/>
                <w:i/>
              </w:rPr>
              <w:t>1</w:t>
            </w:r>
            <w:r>
              <w:rPr>
                <w:b/>
                <w:i/>
              </w:rPr>
              <w:t>0</w:t>
            </w:r>
            <w:r w:rsidR="000E6251" w:rsidRPr="00D424A2">
              <w:rPr>
                <w:b/>
                <w:i/>
              </w:rPr>
              <w:t>» августа 2022 г. Решением единственного участника ООО «ФИНКОНСАЛТ» без номера было дано согласие на совершение крупн</w:t>
            </w:r>
            <w:r w:rsidR="005726B8" w:rsidRPr="00D424A2">
              <w:rPr>
                <w:b/>
                <w:i/>
              </w:rPr>
              <w:t>ой</w:t>
            </w:r>
            <w:r w:rsidR="000E6251" w:rsidRPr="00D424A2">
              <w:rPr>
                <w:b/>
                <w:i/>
              </w:rPr>
              <w:t xml:space="preserve"> сделк</w:t>
            </w:r>
            <w:r w:rsidR="005726B8" w:rsidRPr="00D424A2">
              <w:rPr>
                <w:b/>
                <w:i/>
              </w:rPr>
              <w:t>и</w:t>
            </w:r>
            <w:r w:rsidR="000E6251" w:rsidRPr="00D424A2">
              <w:rPr>
                <w:b/>
                <w:i/>
              </w:rPr>
              <w:t>.</w:t>
            </w:r>
          </w:p>
        </w:tc>
      </w:tr>
    </w:tbl>
    <w:p w:rsidR="009A4E6C" w:rsidRPr="006B2B49" w:rsidRDefault="009A4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6B2B49">
        <w:trPr>
          <w:cantSplit/>
        </w:trPr>
        <w:tc>
          <w:tcPr>
            <w:tcW w:w="10235" w:type="dxa"/>
            <w:gridSpan w:val="11"/>
          </w:tcPr>
          <w:p w:rsidR="00153FEE" w:rsidRPr="006B2B49" w:rsidRDefault="00153FEE">
            <w:pPr>
              <w:jc w:val="center"/>
            </w:pPr>
            <w:r w:rsidRPr="006B2B49">
              <w:t>3. Подпись</w:t>
            </w:r>
          </w:p>
        </w:tc>
      </w:tr>
      <w:tr w:rsidR="00153FEE" w:rsidRPr="006B2B49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6B2B49" w:rsidRDefault="00153FEE" w:rsidP="00705ABC">
            <w:pPr>
              <w:ind w:left="57"/>
            </w:pPr>
            <w:r w:rsidRPr="006B2B49">
              <w:t>3.1.</w:t>
            </w:r>
            <w:r w:rsidR="00686E4C" w:rsidRPr="006B2B49">
              <w:t xml:space="preserve"> </w:t>
            </w:r>
            <w:r w:rsidR="00705ABC" w:rsidRPr="006B2B49">
              <w:t xml:space="preserve">Генеральный директор </w:t>
            </w:r>
          </w:p>
          <w:p w:rsidR="00153FEE" w:rsidRPr="006B2B49" w:rsidRDefault="00153FEE" w:rsidP="005A0522">
            <w:pPr>
              <w:ind w:left="57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153FE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6B2B49" w:rsidRDefault="008736E7" w:rsidP="00CC7866">
            <w:pPr>
              <w:ind w:left="57"/>
              <w:rPr>
                <w:b/>
                <w:i/>
              </w:rPr>
            </w:pPr>
            <w:r w:rsidRPr="006B2B49">
              <w:rPr>
                <w:bCs/>
              </w:rPr>
              <w:t xml:space="preserve">И. В. </w:t>
            </w:r>
            <w:proofErr w:type="spellStart"/>
            <w:r w:rsidRPr="006B2B49">
              <w:rPr>
                <w:bCs/>
              </w:rPr>
              <w:t>Жабченко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6B2B49" w:rsidRDefault="00153FEE"/>
        </w:tc>
      </w:tr>
      <w:tr w:rsidR="00153FEE" w:rsidRPr="006B2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6B2B49" w:rsidRDefault="00153FE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>
            <w:pPr>
              <w:jc w:val="center"/>
            </w:pPr>
            <w:r w:rsidRPr="006B2B49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6B2B49" w:rsidRDefault="00153FEE"/>
        </w:tc>
      </w:tr>
      <w:tr w:rsidR="00153FEE" w:rsidRPr="006B2B49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6B2B49" w:rsidRDefault="005A37D0">
            <w:pPr>
              <w:ind w:left="57"/>
            </w:pPr>
          </w:p>
          <w:p w:rsidR="00153FEE" w:rsidRPr="006B2B49" w:rsidRDefault="00153FEE">
            <w:pPr>
              <w:ind w:left="57"/>
            </w:pPr>
            <w:r w:rsidRPr="006B2B49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B842A9" w:rsidP="00B842A9">
            <w:pPr>
              <w:jc w:val="center"/>
            </w:pPr>
            <w:r>
              <w:t>1</w:t>
            </w:r>
            <w:r w:rsidR="000E6251">
              <w:t>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r w:rsidRPr="006B2B49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0E6251">
            <w:pPr>
              <w:jc w:val="center"/>
            </w:pPr>
            <w: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jc w:val="right"/>
            </w:pPr>
            <w:r w:rsidRPr="006B2B49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3B2AC2" w:rsidP="006258C6">
            <w:r w:rsidRPr="006B2B49">
              <w:t>2</w:t>
            </w:r>
            <w:r w:rsidR="006258C6" w:rsidRPr="006B2B49"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ind w:left="57"/>
            </w:pPr>
            <w:r w:rsidRPr="006B2B49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jc w:val="center"/>
            </w:pPr>
            <w:r w:rsidRPr="006B2B49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6B2B49" w:rsidRDefault="00153FEE"/>
        </w:tc>
      </w:tr>
      <w:tr w:rsidR="00153FEE" w:rsidRPr="006B2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6B2B49" w:rsidRDefault="00153FE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6B2B49" w:rsidRDefault="00153FE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6B2B49" w:rsidRDefault="00153FEE"/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2A" w:rsidRDefault="006D5B2A">
      <w:r>
        <w:separator/>
      </w:r>
    </w:p>
  </w:endnote>
  <w:endnote w:type="continuationSeparator" w:id="0">
    <w:p w:rsidR="006D5B2A" w:rsidRDefault="006D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2A" w:rsidRDefault="006D5B2A">
      <w:r>
        <w:separator/>
      </w:r>
    </w:p>
  </w:footnote>
  <w:footnote w:type="continuationSeparator" w:id="0">
    <w:p w:rsidR="006D5B2A" w:rsidRDefault="006D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2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3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25"/>
  </w:num>
  <w:num w:numId="9">
    <w:abstractNumId w:val="12"/>
  </w:num>
  <w:num w:numId="10">
    <w:abstractNumId w:val="1"/>
  </w:num>
  <w:num w:numId="11">
    <w:abstractNumId w:val="10"/>
  </w:num>
  <w:num w:numId="12">
    <w:abstractNumId w:val="26"/>
  </w:num>
  <w:num w:numId="13">
    <w:abstractNumId w:val="16"/>
  </w:num>
  <w:num w:numId="14">
    <w:abstractNumId w:val="23"/>
  </w:num>
  <w:num w:numId="15">
    <w:abstractNumId w:val="13"/>
  </w:num>
  <w:num w:numId="16">
    <w:abstractNumId w:val="17"/>
  </w:num>
  <w:num w:numId="17">
    <w:abstractNumId w:val="2"/>
  </w:num>
  <w:num w:numId="18">
    <w:abstractNumId w:val="8"/>
  </w:num>
  <w:num w:numId="19">
    <w:abstractNumId w:val="18"/>
  </w:num>
  <w:num w:numId="20">
    <w:abstractNumId w:val="9"/>
  </w:num>
  <w:num w:numId="21">
    <w:abstractNumId w:val="6"/>
  </w:num>
  <w:num w:numId="22">
    <w:abstractNumId w:val="4"/>
  </w:num>
  <w:num w:numId="23">
    <w:abstractNumId w:val="20"/>
  </w:num>
  <w:num w:numId="24">
    <w:abstractNumId w:val="22"/>
  </w:num>
  <w:num w:numId="25">
    <w:abstractNumId w:val="5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06CDF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E6251"/>
    <w:rsid w:val="000F0DDD"/>
    <w:rsid w:val="00102B7A"/>
    <w:rsid w:val="00131514"/>
    <w:rsid w:val="00144688"/>
    <w:rsid w:val="00147446"/>
    <w:rsid w:val="00153458"/>
    <w:rsid w:val="00153FEE"/>
    <w:rsid w:val="00160154"/>
    <w:rsid w:val="00162C9D"/>
    <w:rsid w:val="00162FF9"/>
    <w:rsid w:val="00165868"/>
    <w:rsid w:val="0017456D"/>
    <w:rsid w:val="00174E3A"/>
    <w:rsid w:val="00194E82"/>
    <w:rsid w:val="001A0D5D"/>
    <w:rsid w:val="001A67DB"/>
    <w:rsid w:val="001B43B4"/>
    <w:rsid w:val="001B581A"/>
    <w:rsid w:val="001D2F98"/>
    <w:rsid w:val="001E0D40"/>
    <w:rsid w:val="002261C3"/>
    <w:rsid w:val="002503C5"/>
    <w:rsid w:val="0027666E"/>
    <w:rsid w:val="002779D3"/>
    <w:rsid w:val="00280645"/>
    <w:rsid w:val="0029077B"/>
    <w:rsid w:val="002C16A9"/>
    <w:rsid w:val="002E4A8D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177FE"/>
    <w:rsid w:val="00423EC7"/>
    <w:rsid w:val="004471F1"/>
    <w:rsid w:val="00450BC0"/>
    <w:rsid w:val="004932CA"/>
    <w:rsid w:val="00497F43"/>
    <w:rsid w:val="004A1085"/>
    <w:rsid w:val="004A29F4"/>
    <w:rsid w:val="004B3B4A"/>
    <w:rsid w:val="004C459C"/>
    <w:rsid w:val="004F1175"/>
    <w:rsid w:val="004F35C7"/>
    <w:rsid w:val="005040E2"/>
    <w:rsid w:val="00514221"/>
    <w:rsid w:val="00517A73"/>
    <w:rsid w:val="00524D0B"/>
    <w:rsid w:val="005308ED"/>
    <w:rsid w:val="0053146C"/>
    <w:rsid w:val="00560572"/>
    <w:rsid w:val="005615D2"/>
    <w:rsid w:val="005726B8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3DCA"/>
    <w:rsid w:val="005E7651"/>
    <w:rsid w:val="005E7F0B"/>
    <w:rsid w:val="005F1D02"/>
    <w:rsid w:val="00602DE7"/>
    <w:rsid w:val="00610F18"/>
    <w:rsid w:val="00621E73"/>
    <w:rsid w:val="00624265"/>
    <w:rsid w:val="006258C6"/>
    <w:rsid w:val="00637387"/>
    <w:rsid w:val="00645DC1"/>
    <w:rsid w:val="00653C06"/>
    <w:rsid w:val="00655007"/>
    <w:rsid w:val="00673A91"/>
    <w:rsid w:val="00685512"/>
    <w:rsid w:val="00686E4C"/>
    <w:rsid w:val="00687505"/>
    <w:rsid w:val="006A19D7"/>
    <w:rsid w:val="006A714A"/>
    <w:rsid w:val="006B2B49"/>
    <w:rsid w:val="006D3E5C"/>
    <w:rsid w:val="006D5B2A"/>
    <w:rsid w:val="006E1C72"/>
    <w:rsid w:val="006F148E"/>
    <w:rsid w:val="00701BCE"/>
    <w:rsid w:val="00705ABC"/>
    <w:rsid w:val="00707E2E"/>
    <w:rsid w:val="00711552"/>
    <w:rsid w:val="00732447"/>
    <w:rsid w:val="00733ADD"/>
    <w:rsid w:val="007343F8"/>
    <w:rsid w:val="00752804"/>
    <w:rsid w:val="007532ED"/>
    <w:rsid w:val="00773BEE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35855"/>
    <w:rsid w:val="0084482D"/>
    <w:rsid w:val="008601D8"/>
    <w:rsid w:val="008623BA"/>
    <w:rsid w:val="00865759"/>
    <w:rsid w:val="008736E7"/>
    <w:rsid w:val="008B3E51"/>
    <w:rsid w:val="008B6E94"/>
    <w:rsid w:val="008C3627"/>
    <w:rsid w:val="008E3840"/>
    <w:rsid w:val="008E4B13"/>
    <w:rsid w:val="009051CB"/>
    <w:rsid w:val="009110E8"/>
    <w:rsid w:val="009130B0"/>
    <w:rsid w:val="009130DE"/>
    <w:rsid w:val="00923F52"/>
    <w:rsid w:val="009352D7"/>
    <w:rsid w:val="00943070"/>
    <w:rsid w:val="0095483B"/>
    <w:rsid w:val="00960B96"/>
    <w:rsid w:val="00963743"/>
    <w:rsid w:val="00965958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62ED"/>
    <w:rsid w:val="00AD71E2"/>
    <w:rsid w:val="00AE07B8"/>
    <w:rsid w:val="00AE158B"/>
    <w:rsid w:val="00AE6E85"/>
    <w:rsid w:val="00B14C2B"/>
    <w:rsid w:val="00B44E15"/>
    <w:rsid w:val="00B5113D"/>
    <w:rsid w:val="00B51813"/>
    <w:rsid w:val="00B51A80"/>
    <w:rsid w:val="00B54B65"/>
    <w:rsid w:val="00B65E65"/>
    <w:rsid w:val="00B842A9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27E8"/>
    <w:rsid w:val="00C72EAF"/>
    <w:rsid w:val="00C74367"/>
    <w:rsid w:val="00C85701"/>
    <w:rsid w:val="00C85E5F"/>
    <w:rsid w:val="00C95AA7"/>
    <w:rsid w:val="00C97D3F"/>
    <w:rsid w:val="00CC7866"/>
    <w:rsid w:val="00CE30D4"/>
    <w:rsid w:val="00CF648C"/>
    <w:rsid w:val="00D009CF"/>
    <w:rsid w:val="00D10B9E"/>
    <w:rsid w:val="00D115B1"/>
    <w:rsid w:val="00D15FF6"/>
    <w:rsid w:val="00D1603C"/>
    <w:rsid w:val="00D3232A"/>
    <w:rsid w:val="00D34BC7"/>
    <w:rsid w:val="00D424A2"/>
    <w:rsid w:val="00D63CB9"/>
    <w:rsid w:val="00D7513E"/>
    <w:rsid w:val="00D9606D"/>
    <w:rsid w:val="00D96315"/>
    <w:rsid w:val="00DB04A1"/>
    <w:rsid w:val="00DB5AC6"/>
    <w:rsid w:val="00DC0385"/>
    <w:rsid w:val="00DC38BF"/>
    <w:rsid w:val="00DD454C"/>
    <w:rsid w:val="00DD6CBD"/>
    <w:rsid w:val="00DE260B"/>
    <w:rsid w:val="00DE5CAB"/>
    <w:rsid w:val="00DF4419"/>
    <w:rsid w:val="00DF7B50"/>
    <w:rsid w:val="00E019E4"/>
    <w:rsid w:val="00E1024F"/>
    <w:rsid w:val="00E11F8B"/>
    <w:rsid w:val="00E14929"/>
    <w:rsid w:val="00E20BD7"/>
    <w:rsid w:val="00E228A5"/>
    <w:rsid w:val="00E3335B"/>
    <w:rsid w:val="00E531CC"/>
    <w:rsid w:val="00E55304"/>
    <w:rsid w:val="00E557A7"/>
    <w:rsid w:val="00E571C2"/>
    <w:rsid w:val="00E70A40"/>
    <w:rsid w:val="00E7357B"/>
    <w:rsid w:val="00E81E05"/>
    <w:rsid w:val="00E94CDD"/>
    <w:rsid w:val="00EA2584"/>
    <w:rsid w:val="00EA2CB9"/>
    <w:rsid w:val="00EB07B3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E95F45-E575-4F94-8069-004D3B4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customStyle="1" w:styleId="3">
    <w:name w:val="Обычный3"/>
    <w:rsid w:val="00DB04A1"/>
    <w:pPr>
      <w:widowControl w:val="0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AF67-7201-4D86-A007-A19A2B6E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1269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8489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1</cp:revision>
  <cp:lastPrinted>2022-08-09T08:50:00Z</cp:lastPrinted>
  <dcterms:created xsi:type="dcterms:W3CDTF">2022-08-10T13:39:00Z</dcterms:created>
  <dcterms:modified xsi:type="dcterms:W3CDTF">2022-08-10T13:49:00Z</dcterms:modified>
</cp:coreProperties>
</file>